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GRIDx SMART METERING PLATFORM</w:t>
      </w:r>
    </w:p>
    <w:p>
      <w:pPr>
        <w:spacing w:after="60"/>
        <w:jc w:val="center"/>
      </w:pPr>
      <w:r>
        <w:rPr>
          <w:color w:val="00897B"/>
          <w:sz w:val="22"/>
          <w:szCs w:val="22"/>
        </w:rPr>
        <w:t xml:space="preserve">_______________________________________________</w:t>
      </w:r>
    </w:p>
    <w:p>
      <w:pPr>
        <w:spacing w:after="200"/>
        <w:jc w:val="center"/>
      </w:pPr>
      <w:r>
        <w:rPr>
          <w:rFonts w:ascii="Arial" w:cs="Arial" w:eastAsia="Arial" w:hAnsi="Arial"/>
          <w:color w:val="00897B"/>
          <w:sz w:val="36"/>
          <w:szCs w:val="36"/>
        </w:rPr>
        <w:t xml:space="preserve">Service Level Agreement (SLA)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Platform Support &amp; Maintenance Terms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Pulsar Electronic / MTC Partnership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for NamPower Tender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 | Confidential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1. Agreement Overview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Service Level Agreement (SLA) defines the support, maintenance, and performance commitments for the GRIDx Smart Metering Platform provided by Pulsar Electronic in partnership with MTC to NamPower.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Service Provider: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Pulsar Electronic (Pty) Ltd / MTC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Client: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NamPower (Namibia Power Corporation)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Effective Date: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[To be determined upon contract execution]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Agreement Term: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Initial 3-year term with annual renewal options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Review Frequency: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Quarterly SLA performance reviews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Scope of Services</w:t>
      </w:r>
    </w:p>
    <w:p>
      <w:pPr>
        <w:pStyle w:val="Heading2"/>
        <w:spacing w:after="150" w:before="300"/>
      </w:pPr>
      <w:r>
        <w:t xml:space="preserve">2.1 Platform Components Covered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GRIDx Smart Metering Backend (API server, database, MQTT broker)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GRIDx Admin Dashboard (web application)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Vending Integration APIs (partner endpoints, ISO 8583 gateway)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Meter Communication Infrastructure (GSM/MQTT telemetry)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STS Token Generation Engine (Virtual Security Module)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Notification &amp; Alert System (real-time event processing)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Reporting &amp; Analytics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Load Control &amp; Demand Management System</w:t>
      </w:r>
    </w:p>
    <w:p>
      <w:pPr>
        <w:spacing w:after="60"/>
      </w:pPr>
    </w:p>
    <w:p>
      <w:pPr>
        <w:pStyle w:val="Heading2"/>
        <w:spacing w:after="150" w:before="300"/>
      </w:pPr>
      <w:r>
        <w:t xml:space="preserve">2.2 Exclusions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Physical meter hardware repairs (covered under separate warranty)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Third-party network infrastructure (MTC cellular, ISP)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Client-side network and PC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 development beyond agreed scope (quoted separately)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Service Availability</w:t>
      </w:r>
    </w:p>
    <w:p>
      <w:pPr>
        <w:pStyle w:val="Heading2"/>
        <w:spacing w:after="150" w:before="300"/>
      </w:pPr>
      <w:r>
        <w:t xml:space="preserve">3.1 Uptime Commitment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Uptime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Period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GRIDx Backend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99.9% (8.76 hrs/year max downtime)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99.9%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Partner Integration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99.95% (4.38 hrs/year max downtime)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MQTT Broker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99.9%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Database Services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99.99% (52.6 min/year max downtime)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Monthly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t xml:space="preserve">3.2 Planned Maintenance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Scheduled maintenance windows: Sundays 02:00-06:00 SAST (South Africa Standard Time). Advance notification of at least 72 hours for planned maintenance. Emergency maintenance with minimum 4-hour notice. Planned maintenance excluded from uptime calculations.</w:t>
      </w:r>
    </w:p>
    <w:p>
      <w:pPr>
        <w:spacing w:after="60"/>
      </w:pPr>
    </w:p>
    <w:p>
      <w:pPr>
        <w:pStyle w:val="Heading2"/>
        <w:spacing w:after="150" w:before="300"/>
      </w:pPr>
      <w:r>
        <w:t xml:space="preserve">3.3 Uptime Calculation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Uptime % = ((Total Minutes - Downtime Minutes) / Total Minutes) x 100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Downtime is measured from the time a service is unavailable until service is restored, excluding planned maintenance windows and force majeure events.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Incident Management</w:t>
      </w:r>
    </w:p>
    <w:p>
      <w:pPr>
        <w:pStyle w:val="Heading2"/>
        <w:spacing w:after="150" w:before="300"/>
      </w:pPr>
      <w:r>
        <w:t xml:space="preserve">4.1 Severity Classification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P1 - Critical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Complete service outage or data loss affecting all users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 API down, database failure, vending system offline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P2 - 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Major feature unavailable, significant performance degradation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Meter telemetry not updating, reports failing, partial API failure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P3 - 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Non-critical feature issue, workaround available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 chart not loading, export failing, UI bug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P4 - 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Minor issue, cosmetic, enhancement request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Typo in UI, color preference, feature suggestion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t xml:space="preserve">4.2 Response &amp; Resolution Times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P1 - Critical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P2 - 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hour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 business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P3 - 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business hours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 business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P4 - 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business day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Next scheduled release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Response Time: Time from incident report to acknowledgment by support engineer.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Resolution Target: Time from acknowledgment to resolution or effective workaround.</w:t>
      </w:r>
    </w:p>
    <w:p>
      <w:pPr>
        <w:spacing w:after="60"/>
      </w:pPr>
    </w:p>
    <w:p>
      <w:pPr>
        <w:pStyle w:val="Heading2"/>
        <w:spacing w:after="150" w:before="300"/>
      </w:pPr>
      <w:r>
        <w:t xml:space="preserve">4.3 Escalation Path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Trigger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L1 - First Response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Technical Support Engineer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Initial triage and diagnosis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L2 - Engineering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Senior Developer / DevOps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If L1 cannot resolve within target 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L3 -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Technical Director / CTO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If L2 exceeds resolution target by 50%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L4 - Executive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Managing Director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Client-initiated or contractual breach risk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Support Channels</w:t>
      </w:r>
    </w:p>
    <w:p>
      <w:pPr>
        <w:pStyle w:val="Heading2"/>
        <w:spacing w:after="150" w:before="300"/>
      </w:pPr>
      <w:r>
        <w:t xml:space="preserve">5.1 Support Hours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24/7 Emergency Hotline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24 hours, 7 days/week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 incidents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 Support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Business hours (08:00-17:00 SAST, Mon-Fri)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severities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Support Portal (Ticketing)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24/7 submission, business hours response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severities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Remote Access Support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Business hours, scheduled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Guided troubleshooting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On-Site Support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By appointment (48-hour notice)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Hardware/installation issues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t xml:space="preserve">5.2 Contact Information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Emergency Hotline: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[To be provided upon contract execution]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Support Email: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support@pulsarelectronic.com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Support Portal: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https://support.gridx-meters.com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Account Manager: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[Assigned upon contract execution]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Maintenance &amp; Updates</w:t>
      </w:r>
    </w:p>
    <w:p>
      <w:pPr>
        <w:pStyle w:val="Heading2"/>
        <w:spacing w:after="150" w:before="300"/>
      </w:pPr>
      <w:r>
        <w:t xml:space="preserve">6.1 Maintenance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Security Patches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Critical vulnerability fixes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Within 24-48 hours of discovery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Bug Fixes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Platform defect corrections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Bi-weekly release cycle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Minor Updates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Feature enhancements, UI improvements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Monthly release cycle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Major Releases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Significant new features, architecture changes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Database Maintenance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Optimization, index rebuilds, cleanup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Weekly (automated)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Backup Verification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Backup integrity testing and restore drills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Monthly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t xml:space="preserve">6.2 Change Management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changes follow a structured change management process: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Change Request submitted and reviewed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Impact assessment and risk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Testing in staging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Client notification (minimum 72 hours for non-emergency)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Deployment during maintenance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Post-deployment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Rollback plan available for all deployments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Data Management &amp; Backup</w:t>
      </w:r>
    </w:p>
    <w:p>
      <w:pPr>
        <w:pStyle w:val="Heading2"/>
        <w:spacing w:after="150" w:before="300"/>
      </w:pPr>
      <w:r>
        <w:t xml:space="preserve">7.1 Backup Schedule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Backup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Database Backup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Daily (02:00 SAST)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Incremental Backup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Every 6 hours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Transaction Log Backup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Every 15 minutes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14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Configuration Backup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 every change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365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Offsite Replication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Real-time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 days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t xml:space="preserve">7.2 Recovery Objectives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Recovery Point Objective (RPO):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15 minutes (maximum data loss)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Recovery Time Objective (RTO):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4 hours (maximum restore time)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Recovery Test Frequency: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Quarterly disaster recovery drills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Performance Metrics</w:t>
      </w:r>
    </w:p>
    <w:p>
      <w:pPr>
        <w:pStyle w:val="Heading2"/>
        <w:spacing w:after="150" w:before="300"/>
      </w:pPr>
      <w:r>
        <w:t xml:space="preserve">8.1 API Performance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95th percentile over 24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 Response Time (P99)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2000ms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99th percentile over 24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Token Generation 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End-to-end vending transaction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 Load 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4 seconds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Initial page 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30 seconds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Standard report, &lt; 60s for complex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MQTT Message Delivery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Command to meter acknowledgment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t xml:space="preserve">8.2 Capacity Planning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platform is designed to handle: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 to 100,000 active meters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 to 50,000 vending transactions per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 to 500 concurrent dashboard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 to 1,000 API requests per minute (partner aggregate)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MQTT telemetry from all meters at 15-minute intervals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Security Commitments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TLS 1.2+ encryption for all API communications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AES-256 encryption for data at rest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BCrypt password hashing with automatic account lockout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Role-based access control (RBAC) with audit 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IP whitelisting for partner API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Two-factor authentication (2FA) for admin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Regular security vulnerability assessments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Compliance with IEC 62055 (STS prepaid metering standard)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GDPR-compliant data handling practices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10. Service Credits</w:t>
      </w:r>
    </w:p>
    <w:p>
      <w:pPr>
        <w:pStyle w:val="Heading2"/>
        <w:spacing w:after="150" w:before="300"/>
      </w:pPr>
      <w:r>
        <w:t xml:space="preserve">10.1 Uptime Service Credits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monthly uptime falls below the committed target, the following service credits apply: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Uptime Achieved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Credit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99.0% - 99.89%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5% of monthly fee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98.0% - 98.99%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10% of monthly fee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95.0% - 97.99%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20% of monthly fee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Below 95.0%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30% of monthly fee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30%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Service credits are applied to the following month's invoice. Credits do not accumulate and maximum credit per month is capped at 30% of monthly fee.</w:t>
      </w:r>
    </w:p>
    <w:p>
      <w:pPr>
        <w:pStyle w:val="Heading2"/>
        <w:spacing w:after="150" w:before="300"/>
      </w:pPr>
      <w:r>
        <w:t xml:space="preserve">10.2 Response Time Credits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incident response times are not met for more than 3 incidents per quarter, an additional 5% service credit applies for that quarter.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11. SLA Reporting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Monthly SLA performance reports will be provided covering: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Uptime percentage per service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Incident summary (count, severity, response times, resolution times)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Change management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Performance metrics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Capacity utilization trends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Security incident summary (if any)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Quarterly review meetings will be held between Pulsar Electronic and NamPower stakeholders to review SLA performance, discuss improvements, and plan upcoming changes.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12. Agreement Acceptance</w:t>
      </w:r>
    </w:p>
    <w:p>
      <w:pPr>
        <w:spacing w:after="60"/>
      </w:pPr>
    </w:p>
    <w:p>
      <w:pPr>
        <w:spacing w:after="60"/>
      </w:pPr>
    </w:p>
    <w:p>
      <w:pPr>
        <w:spacing w:after="120"/>
        <w:rPr>
          <w:b/>
          <w:bCs/>
          <w:color w:val="1B2A4A"/>
        </w:rPr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SERVICE PROVIDER: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Name: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Title: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Company: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Pulsar Electronic (Pty) Ltd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Signature: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___________________________________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20"/>
        <w:rPr>
          <w:b/>
          <w:bCs/>
          <w:color w:val="1B2A4A"/>
        </w:rPr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CLIENT: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Name: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Title: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Company: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NamPower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Signature: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___________________________________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--- End of Document 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GRIDx Service Level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0897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2026-03-18T03:07:20.812Z</dcterms:created>
  <dcterms:modified xsi:type="dcterms:W3CDTF">2026-03-18T03:07:20.812Z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