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الشروط والأحكام العامة لمقاولي الباطن IIE</w:t>
      </w:r>
    </w:p>
    <w:p>
      <w:pPr>
        <w:jc w:val="center"/>
      </w:pPr>
      <w:r>
        <w:rPr>
          <w:b/>
          <w:sz w:val="24"/>
        </w:rPr>
        <w:t>المواد 1-5</w:t>
      </w:r>
    </w:p>
    <w:p/>
    <w:p>
      <w:r>
        <w:rPr>
          <w:b/>
          <w:sz w:val="22"/>
        </w:rPr>
        <w:t>المادة 1. العلاقة التعاقدية</w:t>
      </w:r>
    </w:p>
    <w:p>
      <w:r>
        <w:t>يتم تمويل هذه الاتفاقية كليًا أو جزئيًا بأموال من الحكومة الأمريكية. لا تعتبر الحكومة الأمريكية ولا أي من إداراتها أو وكالاتها أو موظفيها طرفًا في هذه الاتفاقية. لا يتم إنشاء أي علاقة تعاقدية بين الحكومة الأمريكية والمقاول بموجب هذه الاتفاقية. يجب توجيه جميع الاتصالات المتعلقة بالمسائل التعاقدية المتعلقة بهذه الاتفاقية إلى IIE وليس إلى الحكومة الأمريكية.</w:t>
      </w:r>
    </w:p>
    <w:p/>
    <w:p>
      <w:r>
        <w:rPr>
          <w:b/>
          <w:sz w:val="22"/>
        </w:rPr>
        <w:t>المادة 2. الخدمات</w:t>
      </w:r>
    </w:p>
    <w:p>
      <w:r>
        <w:t>لأداء العمل بنجاح وإكماله، سيقوم المقاول بتقديم الخدمات وأي مخرجات موصوفة في الملحق ب: نطاق العمل لهذا الاتفاق ("العمل"). سيقوم المقاول بالتشاور بانتظام مع ممثل IIE المدرج في الصفحة 1 من هذا الاتفاق، والامتثال لأي تعليمات أو توجيهات تتعلق بنطاق ونتائج العمل المقدمة من ممثل IIE الذي سيكون له السيطرة العامة على العمل.</w:t>
      </w:r>
    </w:p>
    <w:p/>
    <w:p>
      <w:r>
        <w:rPr>
          <w:b/>
          <w:sz w:val="22"/>
        </w:rPr>
        <w:t>المادة 3. فترة الأداء</w:t>
      </w:r>
    </w:p>
    <w:p>
      <w:r>
        <w:t>تبدأ فترة الأداء لإكمال العمل من تاريخ البدء وتستمر حتى تاريخ الانتهاء المحدد في الصفحة 1 من هذه الاتفاقية. يمكن تمديد هذه الاتفاقية بموجب اتفاق خطي إضافي بين الأطراف.</w:t>
      </w:r>
    </w:p>
    <w:p/>
    <w:p>
      <w:r>
        <w:rPr>
          <w:b/>
          <w:sz w:val="22"/>
        </w:rPr>
        <w:t>المادة 4. الدفع</w:t>
      </w:r>
    </w:p>
    <w:p>
      <w:r>
        <w:rPr>
          <w:b/>
        </w:rPr>
        <w:t>أ.    من أجل إتمام العمل بنجاح، ستقوم IIE بدفع المبلغ للمقاول وفقًا للجدول والأسعار المحددة في المرفق C حتى الحد الأقصى للمبلغ الموضح في الصفحة 1 من هذه الاتفاقية. سيقوم المقاول بتقديم فاتورة (فواتير) إلى IIE (مع الوثائق الداعمة المطلوبة، إذا لزم الأمر) وفقًا للمرفق C، وستقوم IIE بدفع جميع هذه الفواتير كما هو موضح في المرفق D: الدفع.</w:t>
      </w:r>
      <w:r/>
    </w:p>
    <w:p>
      <w:r>
        <w:rPr>
          <w:b/>
        </w:rPr>
        <w:t>ب.    جميع المبالغ المذكورة في هذه الاتفاقية هي بالدولار الأمريكي.</w:t>
      </w:r>
      <w:r/>
    </w:p>
    <w:p>
      <w:r>
        <w:rPr>
          <w:b/>
        </w:rPr>
        <w:t>ج.    IIE معفاة من ضرائب المبيعات والاستخدام. لن يقوم المقاول بفرض ضرائب المبيعات والاستخدام على IIE في الولايات القضائية التالية: كاليفورنيا؛ كولورادو؛ مقاطعة كولومبيا؛ فلوريدا؛ إلينوي؛ إنديانا؛ ماريلاند؛ ماساتشوستس؛ نيو جيرسي؛ نيويورك؛ رود آيلاند؛ تكساس ويوتا. ستقدم IIE للمقاول شهادة بهذا الخصوص عند الطلب.</w:t>
      </w:r>
      <w:r/>
    </w:p>
    <w:p>
      <w:r>
        <w:rPr>
          <w:b/>
        </w:rPr>
        <w:t>د.    لا يُعتبر استلام التعويض عن العمل الذي سيتم تقديمه بموجب هذه الاتفاقية تعويضًا مزدوجًا أو تعويضًا من مصادر أخرى غير IIE لنفس العمل الذي سيؤديه المقاول لصالح IIE.</w:t>
      </w:r>
      <w:r/>
    </w:p>
    <w:p>
      <w:r>
        <w:rPr>
          <w:b/>
        </w:rPr>
        <w:t>هـ. سيكون IIE مسؤولاً فقط عن تحويل المبالغ غير المتنازع عليها للعمل المنجز والمفوتر من قبل المقاول في غضون 60 يومًا تقويميًا من تاريخ الانتهاء الموضح في الصفحة 1. سيتنازل المقاول عن دفع أي أموال للعمل غير المفوتر في غضون 60 يومًا تقويميًا من تاريخ الانتهاء وسيتم إعفاء IIE من دفع هذا العمل.</w:t>
      </w:r>
      <w:r/>
    </w:p>
    <w:p/>
    <w:p>
      <w:r>
        <w:rPr>
          <w:b/>
          <w:sz w:val="22"/>
        </w:rPr>
        <w:t>المادة 5. الاتصالات والتوجيه الفني</w:t>
      </w:r>
    </w:p>
    <w:p>
      <w:r>
        <w:t>يفضل أن يتم جميع التواصل بشأن التوجيه التعاقدي، والتوجيه البرنامجي والتقني عبر البريد الإلكتروني. سيتم إجراء جميع التعديلات التعاقدية من قبل ممثل المنح والعقود في IIE. سيتم توفير جميع التوجيهات البرمجية وأنشطة المراقبة بموجب هذه الاتفاقية من قبل ممثل IIE أو المندوب المعين.</w:t>
      </w:r>
    </w:p>
    <w:p>
      <w:r>
        <w:t>يجب أن تتم الموافقة على أي موافقات مسبقة مطلوبة كتابيًا من قبل ممثل IIE.</w:t>
      </w:r>
    </w:p>
    <w:p>
      <w:r>
        <w:t>يجب أن تكون جميع التعديلات على هذه الاتفاقية مكتوبة وموقعة من قبل الممثلين المفوضين رسميًا للأطراف.</w:t>
      </w:r>
    </w:p>
    <w:p>
      <w:r>
        <w:t>يجب إرسال جميع الإشعارات القانونية وفقًا للتعليمات الواردة في المادة 25. الإشعارات القانونية.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