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IIE General Terms and Conditions for Subcontractors</w:t>
      </w:r>
    </w:p>
    <w:p>
      <w:pPr>
        <w:jc w:val="center"/>
      </w:pPr>
      <w:r>
        <w:rPr>
          <w:b/>
          <w:sz w:val="24"/>
        </w:rPr>
        <w:t>Articles 1-5</w:t>
      </w:r>
    </w:p>
    <w:p/>
    <w:p>
      <w:r>
        <w:rPr>
          <w:b/>
          <w:sz w:val="22"/>
        </w:rPr>
        <w:t>ARTICLE 1. PRIVITY</w:t>
      </w:r>
    </w:p>
    <w:p>
      <w:r>
        <w:t>This Agreement is funded in whole or in part with funds from the U.S. Government. Neither the U.S. Government nor any of its departments, agencies, or employees is or will be a party to this Agreement. No privity of contract between the U.S. Government and Contractor is established by this Agreement. All communications regarding contractual matters related to this Agreement shall be directed to IIE and not to the U.S. Government.</w:t>
      </w:r>
    </w:p>
    <w:p/>
    <w:p>
      <w:r>
        <w:rPr>
          <w:b/>
          <w:sz w:val="22"/>
        </w:rPr>
        <w:t>ARTICLE 2. SERVICES</w:t>
      </w:r>
    </w:p>
    <w:p>
      <w:r>
        <w:t>For successful performance and completion of the Work, Contractor will provide the services and any deliverables described in Attachment B: Scope of Work to this Agreement (the "Work"). Contractor will regularly consult with IIE Representative listed on Page 1 of this Agreement, and comply with any instructions or directives regarding the scope and results of the Work given by the IIE Representative who will have general control over the Work.</w:t>
      </w:r>
    </w:p>
    <w:p/>
    <w:p>
      <w:r>
        <w:rPr>
          <w:b/>
          <w:sz w:val="22"/>
        </w:rPr>
        <w:t>ARTICLE 3. PERIOD OF PERFORMANCE</w:t>
      </w:r>
    </w:p>
    <w:p>
      <w:r>
        <w:t>The period of performance for completion of the Work begins on the Start Date and continues through the End Date set forth on page 1 of this Agreement. This Agreement may be extended upon the further written agreement of the Parties.</w:t>
      </w:r>
    </w:p>
    <w:p/>
    <w:p>
      <w:r>
        <w:rPr>
          <w:b/>
          <w:sz w:val="22"/>
        </w:rPr>
        <w:t>ARTICLE 4. PAYMENT</w:t>
      </w:r>
    </w:p>
    <w:p>
      <w:r>
        <w:rPr>
          <w:b/>
        </w:rPr>
        <w:t xml:space="preserve">A.    </w:t>
      </w:r>
      <w:r>
        <w:t>For the successful completion of the Work, IIE will pay the Contractor in accordance with the schedule and rates set forth on Attachment C up to the Maximum Amount shown on page 1 of this Agreement. Contractor will submit an invoice(s) to IIE (together with required supporting documentation, if required) in accordance with Attachment C, and IIE will pay all such invoices as set forth in the Attachment D: Payment.</w:t>
      </w:r>
    </w:p>
    <w:p>
      <w:r>
        <w:rPr>
          <w:b/>
        </w:rPr>
        <w:t xml:space="preserve">B.    </w:t>
      </w:r>
      <w:r>
        <w:t>All amounts expressed in this Agreement are in United States Dollars.</w:t>
      </w:r>
    </w:p>
    <w:p>
      <w:r>
        <w:rPr>
          <w:b/>
        </w:rPr>
        <w:t xml:space="preserve">C.    </w:t>
      </w:r>
      <w:r>
        <w:t>IIE is exempt from sales and use taxes. Contractor will not charge IIE sales and use taxes in the following jurisdictions: California; Colorado; the District of Columbia; Florida; Illinois; Indiana; Maryland; Massachusetts; New Jersey; New York; Rhode Island; Texas and Utah. IIE will provide Contractor with a certificate to this effect upon request.</w:t>
      </w:r>
    </w:p>
    <w:p>
      <w:r>
        <w:rPr>
          <w:b/>
        </w:rPr>
        <w:t xml:space="preserve">D.    </w:t>
      </w:r>
      <w:r>
        <w:t>The receipt of compensation for the Work to be provided under this Agreement shall not constitute dual compensation or compensation from sources other than IIE for the same work to be performed by Contractor for IIE.</w:t>
      </w:r>
    </w:p>
    <w:p>
      <w:r>
        <w:rPr>
          <w:b/>
        </w:rPr>
        <w:t xml:space="preserve">E.    </w:t>
      </w:r>
      <w:r>
        <w:t>IIE will only be responsible to remit undisputed amounts for Work performed and invoiced by Contractor within 60 calendar days from the End Date shown on page 1. Contractor will forego payment of any funds for Work not invoiced within 60 calendar days from the End Date and IIE will be relieved of payment for such Work.</w:t>
      </w:r>
    </w:p>
    <w:p/>
    <w:p>
      <w:r>
        <w:rPr>
          <w:b/>
          <w:sz w:val="22"/>
        </w:rPr>
        <w:t>ARTICLE 5. COMMUNICATIONS AND TECHNICAL DIRECTION</w:t>
      </w:r>
    </w:p>
    <w:p>
      <w:r>
        <w:t>It is preferred that all communication regarding contractual guidance, programmatic and technical direction be made via electronic mail. All contractual amendments will be made by the IIE Grants &amp; Contracts Representative. All programmatic direction and monitoring activities under this Agreement will be provided by the IIE Representative or the assigned Delegate.</w:t>
      </w:r>
    </w:p>
    <w:p>
      <w:r>
        <w:t>Any required prior approvals must be approved in writing by the IIE Representative.</w:t>
      </w:r>
    </w:p>
    <w:p>
      <w:r>
        <w:t>All amendments to this Agreement shall be in writing and shall be signed by the Parties' duly authorized representatives.</w:t>
      </w:r>
    </w:p>
    <w:p>
      <w:r>
        <w:t>All legal notices shall be sent in accordance with instructions set forth in the Article 25. Legal Notices.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