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Điều khoản và Điều kiện Chung của IIE cho Nhà thầu phụ</w:t>
      </w:r>
    </w:p>
    <w:p>
      <w:pPr>
        <w:jc w:val="center"/>
      </w:pPr>
      <w:r>
        <w:rPr>
          <w:b/>
          <w:sz w:val="24"/>
        </w:rPr>
        <w:t>Điều 1-5</w:t>
      </w:r>
    </w:p>
    <w:p/>
    <w:p>
      <w:r>
        <w:rPr>
          <w:b/>
          <w:sz w:val="22"/>
        </w:rPr>
        <w:t>ĐIỀU 1. QUAN HỆ HỢP ĐỒNG</w:t>
      </w:r>
    </w:p>
    <w:p>
      <w:r>
        <w:t>Thỏa thuận này được tài trợ toàn bộ hoặc một phần bằng các quỹ từ Chính phủ Hoa Kỳ. Chính phủ Hoa Kỳ cũng như bất kỳ bộ phận, cơ quan, hoặc nhân viên nào của họ không phải và sẽ không là một bên của Thỏa thuận này. Không có mối quan hệ hợp đồng nào giữa Chính phủ Hoa Kỳ và Nhà thầu được thiết lập bởi Thỏa thuận này. Mọi thông tin liên lạc liên quan đến các vấn đề hợp đồng liên quan đến Thỏa thuận này phải được gửi đến IIE và không phải đến Chính phủ Hoa Kỳ.</w:t>
      </w:r>
    </w:p>
    <w:p/>
    <w:p>
      <w:r>
        <w:rPr>
          <w:b/>
          <w:sz w:val="22"/>
        </w:rPr>
        <w:t>ĐIỀU 2. DỊCH VỤ</w:t>
      </w:r>
    </w:p>
    <w:p>
      <w:r>
        <w:t>Để thực hiện và hoàn thành Công Việc thành công, Nhà Thầu sẽ cung cấp các dịch vụ và bất kỳ sản phẩm nào được mô tả trong Phụ Lục B: Phạm Vi Công Việc của Thỏa Thuận này (gọi là "Công Việc"). Nhà Thầu sẽ thường xuyên tham khảo ý kiến với Đại Diện IIE được liệt kê trên Trang 1 của Thỏa Thuận này, và tuân thủ bất kỳ hướng dẫn hoặc chỉ thị nào liên quan đến phạm vi và kết quả của Công Việc do Đại Diện IIE đưa ra, người sẽ có quyền kiểm soát chung đối với Công Việc.</w:t>
      </w:r>
    </w:p>
    <w:p/>
    <w:p>
      <w:r>
        <w:rPr>
          <w:b/>
          <w:sz w:val="22"/>
        </w:rPr>
        <w:t>ĐIỀU 3. THỜI GIAN THỰC HIỆN</w:t>
      </w:r>
    </w:p>
    <w:p>
      <w:r>
        <w:t>Thời gian thực hiện để hoàn thành Công việc bắt đầu từ Ngày Bắt đầu và tiếp tục đến Ngày Kết thúc được nêu trên trang 1 của Thỏa thuận này. Thỏa thuận này có thể được gia hạn theo thỏa thuận bằng văn bản tiếp theo của các Bên.</w:t>
      </w:r>
    </w:p>
    <w:p/>
    <w:p>
      <w:r>
        <w:rPr>
          <w:b/>
          <w:sz w:val="22"/>
        </w:rPr>
        <w:t>ĐIỀU 4. THANH TOÁN</w:t>
      </w:r>
    </w:p>
    <w:p>
      <w:r>
        <w:rPr>
          <w:b/>
        </w:rPr>
        <w:t>A. Để hoàn thành công việc thành công, IIE sẽ thanh toán cho Nhà thầu theo lịch trình và mức giá được quy định trong Phụ lục C lên đến Số tiền Tối đa được hiển thị trên trang 1 của Thỏa thuận này. Nhà thầu sẽ gửi hóa đơn cho IIE (cùng với tài liệu hỗ trợ cần thiết, nếu được yêu cầu) theo Phụ lục C, và IIE sẽ thanh toán tất cả các hóa đơn đó như được quy định trong Phụ lục D: Thanh toán.</w:t>
      </w:r>
      <w:r/>
    </w:p>
    <w:p>
      <w:r>
        <w:rPr>
          <w:b/>
        </w:rPr>
        <w:t>B.    Tất cả các khoản tiền được nêu trong Thỏa thuận này đều bằng Đô la Mỹ.</w:t>
      </w:r>
      <w:r/>
    </w:p>
    <w:p>
      <w:r>
        <w:rPr>
          <w:b/>
        </w:rPr>
        <w:t>C. IIE được miễn thuế bán hàng và sử dụng. Nhà thầu sẽ không tính thuế bán hàng và sử dụng cho IIE tại các khu vực pháp lý sau: California; Colorado; Quận Columbia; Florida; Illinois; Indiana; Maryland; Massachusetts; New Jersey; New York; Rhode Island; Texas và Utah. IIE sẽ cung cấp cho Nhà thầu một chứng nhận về điều này khi có yêu cầu.</w:t>
      </w:r>
      <w:r/>
    </w:p>
    <w:p>
      <w:r>
        <w:rPr>
          <w:b/>
        </w:rPr>
        <w:t>D. Việc nhận tiền thù lao cho Công việc được cung cấp theo Thỏa thuận này sẽ không cấu thành việc nhận thù lao kép hoặc thù lao từ các nguồn khác ngoài IIE cho cùng một công việc được thực hiện bởi Nhà thầu cho IIE.</w:t>
      </w:r>
      <w:r/>
    </w:p>
    <w:p>
      <w:r>
        <w:rPr>
          <w:b/>
        </w:rPr>
        <w:t>E. IIE sẽ chỉ chịu trách nhiệm chuyển các khoản tiền không tranh chấp cho Công việc được thực hiện và lập hóa đơn bởi Nhà thầu trong vòng 60 ngày dương lịch kể từ Ngày Kết Thúc được hiển thị trên trang 1. Nhà thầu sẽ từ bỏ việc thanh toán bất kỳ khoản tiền nào cho Công việc không được lập hóa đơn trong vòng 60 ngày dương lịch kể từ Ngày Kết Thúc và IIE sẽ được miễn trách nhiệm thanh toán cho Công việc đó.</w:t>
      </w:r>
      <w:r/>
    </w:p>
    <w:p/>
    <w:p>
      <w:r>
        <w:rPr>
          <w:b/>
          <w:sz w:val="22"/>
        </w:rPr>
        <w:t>ĐIỀU 5. TRUYỀN THÔNG VÀ HƯỚNG DẪN KỸ THUẬT</w:t>
      </w:r>
    </w:p>
    <w:p>
      <w:r>
        <w:t>Người ta ưu tiên rằng tất cả các thông tin liên lạc liên quan đến hướng dẫn hợp đồng, chỉ đạo chương trình và kỹ thuật được thực hiện qua thư điện tử. Tất cả các sửa đổi hợp đồng sẽ được thực hiện bởi Đại diện Hợp đồng &amp; Tài trợ IIE. Tất cả các chỉ đạo chương trình và hoạt động giám sát theo Thỏa thuận này sẽ được cung cấp bởi Đại diện IIE hoặc Đại biểu được chỉ định.</w:t>
      </w:r>
    </w:p>
    <w:p>
      <w:r>
        <w:t>Bất kỳ phê duyệt trước nào cần thiết phải được phê duyệt bằng văn bản bởi Đại diện IIE.</w:t>
      </w:r>
    </w:p>
    <w:p>
      <w:r>
        <w:t>Mọi sửa đổi đối với Thỏa thuận này phải được lập thành văn bản và phải được ký bởi các đại diện được ủy quyền hợp pháp của các Bên.</w:t>
      </w:r>
    </w:p>
    <w:p>
      <w:r>
        <w:t>Tất cả thông báo pháp lý sẽ được gửi theo hướng dẫn được nêu trong Điều 25. Thông Báo Pháp Lý.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