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B06A" w14:textId="6A6B042B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  <w:r w:rsidR="002D2385">
        <w:rPr>
          <w:b/>
          <w:sz w:val="48"/>
          <w:szCs w:val="48"/>
        </w:rPr>
        <w:t>s</w:t>
      </w:r>
    </w:p>
    <w:p w14:paraId="2B44B3D7" w14:textId="1100B061" w:rsidR="008A7FE2" w:rsidRDefault="008A7FE2" w:rsidP="000B23D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07BD">
        <w:rPr>
          <w:rFonts w:ascii="Courier New" w:hAnsi="Courier New" w:cs="Courier New"/>
          <w:sz w:val="22"/>
          <w:szCs w:val="22"/>
        </w:rPr>
        <w:t>SeniorsFirst</w:t>
      </w:r>
      <w:proofErr w:type="spellEnd"/>
    </w:p>
    <w:p w14:paraId="330662ED" w14:textId="77777777" w:rsidR="0036377C" w:rsidRDefault="0036377C" w:rsidP="000266F5">
      <w:pPr>
        <w:jc w:val="both"/>
      </w:pPr>
    </w:p>
    <w:p w14:paraId="05B41713" w14:textId="2CC23F62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68E5F0D1" w14:textId="77777777" w:rsidR="005B285B" w:rsidRDefault="005B285B" w:rsidP="00A37B78">
      <w:pPr>
        <w:numPr>
          <w:ilvl w:val="0"/>
          <w:numId w:val="1"/>
        </w:numPr>
        <w:jc w:val="both"/>
      </w:pPr>
      <w:r>
        <w:t xml:space="preserve">letters (of the alphabet) enter </w:t>
      </w:r>
      <w:r w:rsidR="00A34DC7">
        <w:t xml:space="preserve">the queue </w:t>
      </w:r>
      <w:r>
        <w:t>random</w:t>
      </w:r>
      <w:r w:rsidR="00A34DC7">
        <w:t>ly</w:t>
      </w:r>
      <w:r>
        <w:t>, but come out in alphabetical order.</w:t>
      </w:r>
    </w:p>
    <w:p w14:paraId="5854759D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3B30F342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5FF1020B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3BE83C62" w14:textId="77777777" w:rsidR="00950F4C" w:rsidRDefault="00950F4C" w:rsidP="000266F5">
      <w:pPr>
        <w:jc w:val="both"/>
      </w:pPr>
    </w:p>
    <w:p w14:paraId="57615404" w14:textId="28AE8E3F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a Comparable</w:t>
      </w:r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A9651F">
        <w:rPr>
          <w:i/>
          <w:highlight w:val="yellow"/>
        </w:rPr>
        <w:t xml:space="preserve">A higher priority means a lower </w:t>
      </w:r>
      <w:proofErr w:type="spellStart"/>
      <w:r w:rsidRPr="00A9651F">
        <w:rPr>
          <w:rFonts w:ascii="Courier New" w:hAnsi="Courier New" w:cs="Courier New"/>
          <w:i/>
          <w:highlight w:val="yellow"/>
        </w:rPr>
        <w:t>compareTo</w:t>
      </w:r>
      <w:proofErr w:type="spellEnd"/>
      <w:r w:rsidRPr="00A9651F">
        <w:rPr>
          <w:i/>
          <w:highlight w:val="yellow"/>
        </w:rPr>
        <w:t xml:space="preserve"> return 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BE1042E" w14:textId="31DE6BA2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20DB8AF1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26A33A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F4D3AF5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4DA03923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16E1366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16EAED5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30F1FE12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6BCCA56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63AAF7D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C714C7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EACB6A7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2E814C3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18FB416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1903479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6439D05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66B1CA61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A09AA91" w14:textId="268BDFAE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FE170D0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0D26AB" w14:paraId="20BAF764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ADDDE1" w14:textId="5F10EBED" w:rsidR="000D26AB" w:rsidRPr="001A1A54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25D722" w14:textId="2E5DD8B4" w:rsidR="000D26AB" w:rsidRPr="00BD7507" w:rsidRDefault="000D26AB" w:rsidP="007523FF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 w:rsidR="000D26AB" w14:paraId="07C69A8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3FB1681B" w14:textId="2737DB82" w:rsidR="000D26AB" w:rsidRPr="001A1A54" w:rsidRDefault="000D26AB" w:rsidP="007523FF">
            <w:pPr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13F3B72B" w14:textId="614F3F04" w:rsidR="000D26AB" w:rsidRPr="00BD7507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  <w:tr w:rsidR="000D26AB" w14:paraId="56ADB515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923FA52" w14:textId="77777777" w:rsidR="000D26AB" w:rsidRPr="00D251E6" w:rsidRDefault="000D26AB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4471998" w14:textId="38315D30" w:rsidR="000D26AB" w:rsidRPr="00BD7507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  <w:tr w:rsidR="000D26AB" w14:paraId="554A6F42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108D0CD" w14:textId="24ECE019" w:rsidR="00145CB0" w:rsidRPr="00D4528D" w:rsidRDefault="00145CB0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A3F3113" w14:textId="58D0C105" w:rsidR="000D26AB" w:rsidRPr="00BD7507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  <w:tr w:rsidR="000D26AB" w14:paraId="3012F5A3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39B0A26" w14:textId="77777777" w:rsidR="000D26AB" w:rsidRPr="00D251E6" w:rsidRDefault="000D26AB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10733DB5" w14:textId="5B89BAB3" w:rsidR="000D26AB" w:rsidRPr="00D251E6" w:rsidRDefault="000D26AB" w:rsidP="00EE0327">
            <w:pPr>
              <w:rPr>
                <w:rFonts w:ascii="Courier New" w:hAnsi="Courier New" w:cs="Courier New"/>
              </w:rPr>
            </w:pPr>
          </w:p>
        </w:tc>
      </w:tr>
      <w:tr w:rsidR="00EE0327" w14:paraId="21FFAEE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266407C" w14:textId="77777777" w:rsidR="00EE0327" w:rsidRPr="00D251E6" w:rsidRDefault="00EE0327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7C4BFD3" w14:textId="4DCC55B8" w:rsidR="00EE0327" w:rsidRDefault="00EE0327" w:rsidP="00EE0327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</w:tbl>
    <w:p w14:paraId="0C4F967C" w14:textId="77777777" w:rsidR="0036377C" w:rsidRDefault="0036377C" w:rsidP="00E0179A">
      <w:pPr>
        <w:jc w:val="both"/>
      </w:pPr>
    </w:p>
    <w:p w14:paraId="68E5EF64" w14:textId="170DED26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923E50">
        <w:t xml:space="preserve"> </w:t>
      </w:r>
      <w:r w:rsidR="000723C8">
        <w:t xml:space="preserve"> </w:t>
      </w:r>
      <w:r w:rsidR="000A0084">
        <w:t xml:space="preserve">If two items are of </w:t>
      </w:r>
      <w:r w:rsidR="008B5CFA">
        <w:t>equal</w:t>
      </w:r>
      <w:r w:rsidR="000A0084">
        <w:t xml:space="preserve"> priority</w:t>
      </w:r>
      <w:r w:rsidR="008B5CFA">
        <w:t xml:space="preserve">, </w:t>
      </w:r>
      <w:r w:rsidR="009E769D">
        <w:t>the</w:t>
      </w:r>
      <w:r w:rsidR="008B5CFA">
        <w:t xml:space="preserve"> one </w:t>
      </w:r>
      <w:r w:rsidR="00A11B71">
        <w:t xml:space="preserve">that </w:t>
      </w:r>
      <w:r w:rsidR="008B5CFA">
        <w:t xml:space="preserve">is removed first </w:t>
      </w:r>
      <w:r w:rsidR="00A11B71">
        <w:t>is</w:t>
      </w:r>
      <w:r w:rsidR="008B5CFA">
        <w:t xml:space="preserve"> </w:t>
      </w:r>
      <w:r w:rsidR="00A11B71" w:rsidRPr="002D2385">
        <w:t>un</w:t>
      </w:r>
      <w:r w:rsidR="008B5CFA" w:rsidRPr="002D2385">
        <w:t>predict</w:t>
      </w:r>
      <w:r w:rsidR="00A11B71" w:rsidRPr="002D2385">
        <w:t>able</w:t>
      </w:r>
      <w:r w:rsidR="000A0084" w:rsidRPr="002D2385">
        <w:t>.</w:t>
      </w:r>
      <w:r w:rsidR="000A0084">
        <w:t xml:space="preserve">  They are</w:t>
      </w:r>
      <w:r w:rsidR="008B5CFA">
        <w:t xml:space="preserve"> </w:t>
      </w:r>
      <w:r w:rsidR="008B5CFA" w:rsidRPr="008B5CFA">
        <w:rPr>
          <w:i/>
        </w:rPr>
        <w:t>not</w:t>
      </w:r>
      <w:r w:rsidR="008B5CFA">
        <w:t xml:space="preserve"> </w:t>
      </w:r>
      <w:r w:rsidR="000A0084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2D2385">
        <w:rPr>
          <w:i/>
        </w:rPr>
        <w:t>not</w:t>
      </w:r>
      <w:r w:rsidR="000723C8">
        <w:t xml:space="preserve"> guarantee that the items of the same priority are removed FIFO.</w:t>
      </w:r>
    </w:p>
    <w:p w14:paraId="581DCBDC" w14:textId="77777777" w:rsidR="002E31BF" w:rsidRDefault="002E31BF"/>
    <w:p w14:paraId="0A228C6B" w14:textId="330154E1" w:rsidR="00461AE7" w:rsidRDefault="00D554C9" w:rsidP="00461AE7">
      <w:pPr>
        <w:ind w:left="1080" w:hanging="1080"/>
      </w:pPr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r w:rsidR="008B5CFA">
        <w:t xml:space="preserve">?  </w:t>
      </w:r>
    </w:p>
    <w:p w14:paraId="24612F53" w14:textId="50E485C0" w:rsidR="00376D2A" w:rsidRDefault="00376D2A" w:rsidP="000D26AB"/>
    <w:p w14:paraId="576B524A" w14:textId="77777777" w:rsidR="0036377C" w:rsidRDefault="0036377C" w:rsidP="000266F5">
      <w:pPr>
        <w:ind w:right="-180"/>
      </w:pPr>
    </w:p>
    <w:p w14:paraId="119ACB17" w14:textId="77777777" w:rsidR="0036377C" w:rsidRDefault="0036377C" w:rsidP="000266F5">
      <w:pPr>
        <w:ind w:right="-180"/>
      </w:pPr>
    </w:p>
    <w:p w14:paraId="68910747" w14:textId="77777777" w:rsidR="0036377C" w:rsidRDefault="0036377C" w:rsidP="000266F5">
      <w:pPr>
        <w:ind w:right="-180"/>
      </w:pPr>
    </w:p>
    <w:p w14:paraId="55F42D20" w14:textId="51BF8B7C" w:rsidR="0036377C" w:rsidRDefault="0036377C" w:rsidP="000266F5">
      <w:pPr>
        <w:ind w:right="-180"/>
      </w:pPr>
    </w:p>
    <w:p w14:paraId="3C56E6FE" w14:textId="77777777" w:rsidR="002D2385" w:rsidRDefault="002D2385" w:rsidP="000266F5">
      <w:pPr>
        <w:ind w:right="-180"/>
      </w:pPr>
    </w:p>
    <w:p w14:paraId="43BEFD1A" w14:textId="77777777" w:rsidR="0036377C" w:rsidRDefault="0036377C" w:rsidP="000266F5">
      <w:pPr>
        <w:ind w:right="-180"/>
      </w:pPr>
    </w:p>
    <w:p w14:paraId="3CCD3822" w14:textId="1D6ED7E3" w:rsidR="00376D2A" w:rsidRPr="00B43782" w:rsidRDefault="0036377C" w:rsidP="000266F5">
      <w:pPr>
        <w:ind w:right="-180"/>
        <w:rPr>
          <w:sz w:val="22"/>
          <w:szCs w:val="22"/>
        </w:rPr>
      </w:pPr>
      <w:r>
        <w:lastRenderedPageBreak/>
        <w:t>4</w:t>
      </w:r>
      <w:r w:rsidR="003725AF">
        <w:t xml:space="preserve">.  </w:t>
      </w:r>
      <w:r w:rsidR="00376D2A" w:rsidRPr="00B43782">
        <w:rPr>
          <w:sz w:val="22"/>
          <w:szCs w:val="22"/>
        </w:rPr>
        <w:t xml:space="preserve">You </w:t>
      </w:r>
      <w:r>
        <w:rPr>
          <w:sz w:val="22"/>
          <w:szCs w:val="22"/>
        </w:rPr>
        <w:t>should</w:t>
      </w:r>
      <w:r w:rsidR="00376D2A" w:rsidRPr="00B43782">
        <w:rPr>
          <w:sz w:val="22"/>
          <w:szCs w:val="22"/>
        </w:rPr>
        <w:t xml:space="preserve"> be </w:t>
      </w:r>
      <w:r>
        <w:rPr>
          <w:sz w:val="22"/>
          <w:szCs w:val="22"/>
        </w:rPr>
        <w:t>aware of</w:t>
      </w:r>
      <w:r w:rsidR="00376D2A" w:rsidRPr="00B437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376D2A" w:rsidRPr="00B43782">
        <w:rPr>
          <w:sz w:val="22"/>
          <w:szCs w:val="22"/>
        </w:rPr>
        <w:t xml:space="preserve">Big-O </w:t>
      </w:r>
      <w:r w:rsidR="001D2D2D" w:rsidRPr="00B43782">
        <w:rPr>
          <w:sz w:val="22"/>
          <w:szCs w:val="22"/>
        </w:rPr>
        <w:t>efficienc</w:t>
      </w:r>
      <w:r>
        <w:rPr>
          <w:sz w:val="22"/>
          <w:szCs w:val="22"/>
        </w:rPr>
        <w:t>ies for several implementations</w:t>
      </w:r>
      <w:r w:rsidR="00F367D4" w:rsidRPr="00B43782">
        <w:rPr>
          <w:sz w:val="22"/>
          <w:szCs w:val="22"/>
        </w:rPr>
        <w:t xml:space="preserve"> of </w:t>
      </w:r>
      <w:proofErr w:type="spellStart"/>
      <w:r w:rsidR="00F367D4" w:rsidRPr="00B43782">
        <w:rPr>
          <w:sz w:val="22"/>
          <w:szCs w:val="22"/>
        </w:rPr>
        <w:t>PriorityQueue</w:t>
      </w:r>
      <w:proofErr w:type="spellEnd"/>
      <w:r w:rsidR="00F367D4" w:rsidRPr="00B43782">
        <w:rPr>
          <w:sz w:val="22"/>
          <w:szCs w:val="22"/>
        </w:rPr>
        <w:t>.</w:t>
      </w:r>
      <w:r w:rsidR="00F34D01" w:rsidRPr="00B43782">
        <w:rPr>
          <w:sz w:val="22"/>
          <w:szCs w:val="22"/>
        </w:rPr>
        <w:t xml:space="preserve">  </w:t>
      </w:r>
      <w:r w:rsidR="00662A92" w:rsidRPr="00B43782">
        <w:rPr>
          <w:sz w:val="22"/>
          <w:szCs w:val="22"/>
        </w:rPr>
        <w:t>Five</w:t>
      </w:r>
      <w:r w:rsidR="00F34D01" w:rsidRPr="00B43782">
        <w:rPr>
          <w:sz w:val="22"/>
          <w:szCs w:val="22"/>
        </w:rPr>
        <w:t xml:space="preserve"> common implementations are:</w:t>
      </w:r>
    </w:p>
    <w:p w14:paraId="27EF4D1D" w14:textId="77777777" w:rsidR="00662A92" w:rsidRPr="00B43782" w:rsidRDefault="002D2385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A34AA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251651584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6C0A66B3" w14:textId="77777777" w:rsidTr="00D251E6">
                    <w:tc>
                      <w:tcPr>
                        <w:tcW w:w="1080" w:type="dxa"/>
                      </w:tcPr>
                      <w:p w14:paraId="79943376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45872104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05CAAADB" w14:textId="77777777" w:rsidTr="00D251E6">
                    <w:tc>
                      <w:tcPr>
                        <w:tcW w:w="1080" w:type="dxa"/>
                      </w:tcPr>
                      <w:p w14:paraId="6612CF78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AE24E7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4B094DA1" w14:textId="77777777" w:rsidR="000C1842" w:rsidRDefault="000C1842"/>
              </w:txbxContent>
            </v:textbox>
            <w10:wrap type="square"/>
          </v:shape>
        </w:pict>
      </w:r>
    </w:p>
    <w:p w14:paraId="226E266E" w14:textId="0CACD7F9" w:rsidR="008511BA" w:rsidRPr="00B43782" w:rsidRDefault="002D2385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69B56E9">
          <v:shape id="_x0000_s1036" type="#_x0000_t202" style="position:absolute;left:0;text-align:left;margin-left:333pt;margin-top:.6pt;width:117pt;height:60.6pt;z-index:251654656" stroked="f">
            <v:textbox style="mso-next-textbox:#_x0000_s1036">
              <w:txbxContent>
                <w:tbl>
                  <w:tblPr>
                    <w:tblW w:w="2107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18"/>
                    <w:gridCol w:w="889"/>
                  </w:tblGrid>
                  <w:tr w:rsidR="00461AE7" w14:paraId="6C4155B7" w14:textId="77777777" w:rsidTr="00461AE7">
                    <w:tc>
                      <w:tcPr>
                        <w:tcW w:w="1218" w:type="dxa"/>
                      </w:tcPr>
                      <w:p w14:paraId="2365F485" w14:textId="77777777" w:rsidR="00461AE7" w:rsidRPr="000C1842" w:rsidRDefault="00461AE7">
                        <w:r>
                          <w:t>insertion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1962541B" w14:textId="5FA2FFBB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7C84A5E7" w14:textId="77777777" w:rsidTr="00461AE7">
                    <w:tc>
                      <w:tcPr>
                        <w:tcW w:w="1218" w:type="dxa"/>
                      </w:tcPr>
                      <w:p w14:paraId="21823961" w14:textId="77777777" w:rsidR="00461AE7" w:rsidRPr="000C1842" w:rsidRDefault="00461AE7">
                        <w:r>
                          <w:t>remove()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1BE0074C" w14:textId="0B3998F4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07DD9112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B43782">
        <w:rPr>
          <w:sz w:val="22"/>
          <w:szCs w:val="22"/>
        </w:rPr>
        <w:t>i</w:t>
      </w:r>
      <w:proofErr w:type="spellEnd"/>
      <w:r w:rsidR="008511BA" w:rsidRPr="00B43782">
        <w:rPr>
          <w:sz w:val="22"/>
          <w:szCs w:val="22"/>
        </w:rPr>
        <w:t xml:space="preserve">.  </w:t>
      </w:r>
      <w:r w:rsidR="008511BA" w:rsidRPr="00B43782">
        <w:rPr>
          <w:b/>
          <w:sz w:val="22"/>
          <w:szCs w:val="22"/>
        </w:rPr>
        <w:t>An array with elements in random order.</w:t>
      </w:r>
      <w:r w:rsidR="008511BA" w:rsidRPr="00B43782">
        <w:rPr>
          <w:sz w:val="22"/>
          <w:szCs w:val="22"/>
        </w:rPr>
        <w:t xml:space="preserve">  Insertion is done at the end of the list.  </w:t>
      </w:r>
      <w:r w:rsidR="00923E50" w:rsidRPr="00B43782">
        <w:rPr>
          <w:sz w:val="22"/>
          <w:szCs w:val="22"/>
        </w:rPr>
        <w:t>Removing</w:t>
      </w:r>
      <w:r w:rsidR="008511BA" w:rsidRPr="00B43782">
        <w:rPr>
          <w:sz w:val="22"/>
          <w:szCs w:val="22"/>
        </w:rPr>
        <w:t xml:space="preserve"> requires a linear search</w:t>
      </w:r>
      <w:r w:rsidR="008B5CFA" w:rsidRPr="00B43782">
        <w:rPr>
          <w:sz w:val="22"/>
          <w:szCs w:val="22"/>
        </w:rPr>
        <w:t>, then a shift</w:t>
      </w:r>
      <w:r w:rsidR="008511BA" w:rsidRPr="00B43782">
        <w:rPr>
          <w:sz w:val="22"/>
          <w:szCs w:val="22"/>
        </w:rPr>
        <w:t xml:space="preserve">.   </w:t>
      </w:r>
      <w:r w:rsidR="00BB6D73">
        <w:rPr>
          <w:sz w:val="22"/>
          <w:szCs w:val="22"/>
        </w:rPr>
        <w:t xml:space="preserve">            </w:t>
      </w:r>
      <w:r w:rsidR="00BB6D73">
        <w:rPr>
          <w:sz w:val="22"/>
          <w:szCs w:val="22"/>
        </w:rPr>
        <w:br/>
      </w:r>
    </w:p>
    <w:p w14:paraId="76C51C14" w14:textId="77777777" w:rsidR="008511BA" w:rsidRPr="00B43782" w:rsidRDefault="002D2385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061CFD6">
          <v:shape id="_x0000_s1037" type="#_x0000_t202" style="position:absolute;left:0;text-align:left;margin-left:333pt;margin-top:3pt;width:117pt;height:46.8pt;z-index:251655680" stroked="f">
            <v:textbox style="mso-next-textbox:#_x0000_s1037">
              <w:txbxContent>
                <w:tbl>
                  <w:tblPr>
                    <w:tblW w:w="2071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82"/>
                    <w:gridCol w:w="889"/>
                  </w:tblGrid>
                  <w:tr w:rsidR="00461AE7" w14:paraId="3BCDCFCE" w14:textId="77777777" w:rsidTr="00461AE7">
                    <w:tc>
                      <w:tcPr>
                        <w:tcW w:w="1182" w:type="dxa"/>
                      </w:tcPr>
                      <w:p w14:paraId="2BBE703E" w14:textId="77777777" w:rsidR="00461AE7" w:rsidRPr="000C1842" w:rsidRDefault="00461AE7">
                        <w:r>
                          <w:t>add()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43E4CE5E" w14:textId="745EF57A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7F73CC1A" w14:textId="77777777" w:rsidTr="00461AE7">
                    <w:tc>
                      <w:tcPr>
                        <w:tcW w:w="1182" w:type="dxa"/>
                      </w:tcPr>
                      <w:p w14:paraId="61A9DBA3" w14:textId="77777777" w:rsidR="00461AE7" w:rsidRPr="000C1842" w:rsidRDefault="00461AE7">
                        <w:r>
                          <w:t>peek()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4C5BF932" w14:textId="79FC5057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1869F297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>ii.</w:t>
      </w:r>
      <w:r w:rsidR="008511BA" w:rsidRPr="00B43782">
        <w:rPr>
          <w:b/>
          <w:sz w:val="22"/>
          <w:szCs w:val="22"/>
        </w:rPr>
        <w:t xml:space="preserve">   An array with elements sorted by priority</w:t>
      </w:r>
      <w:r w:rsidR="008511BA" w:rsidRPr="00B43782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02D32E78" w14:textId="77777777" w:rsidR="008511BA" w:rsidRPr="00B43782" w:rsidRDefault="002D2385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36EF825">
          <v:shape id="_x0000_s1038" type="#_x0000_t202" style="position:absolute;left:0;text-align:left;margin-left:333pt;margin-top:4.8pt;width:117pt;height:43.8pt;z-index:251656704" stroked="f">
            <v:textbox style="mso-next-textbox:#_x0000_s1038">
              <w:txbxContent>
                <w:tbl>
                  <w:tblPr>
                    <w:tblW w:w="2053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70"/>
                    <w:gridCol w:w="883"/>
                  </w:tblGrid>
                  <w:tr w:rsidR="00461AE7" w14:paraId="1F98F876" w14:textId="77777777" w:rsidTr="00913402">
                    <w:trPr>
                      <w:trHeight w:val="292"/>
                    </w:trPr>
                    <w:tc>
                      <w:tcPr>
                        <w:tcW w:w="1170" w:type="dxa"/>
                      </w:tcPr>
                      <w:p w14:paraId="27DE01EE" w14:textId="77777777" w:rsidR="00461AE7" w:rsidRPr="000C1842" w:rsidRDefault="00461AE7">
                        <w:r>
                          <w:t>insertion</w:t>
                        </w:r>
                      </w:p>
                    </w:tc>
                    <w:tc>
                      <w:tcPr>
                        <w:tcW w:w="883" w:type="dxa"/>
                      </w:tcPr>
                      <w:p w14:paraId="0AFCCEDF" w14:textId="711853F1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00FF44CB" w14:textId="77777777" w:rsidTr="00913402">
                    <w:trPr>
                      <w:trHeight w:val="299"/>
                    </w:trPr>
                    <w:tc>
                      <w:tcPr>
                        <w:tcW w:w="1170" w:type="dxa"/>
                      </w:tcPr>
                      <w:p w14:paraId="4A808A3A" w14:textId="77777777" w:rsidR="00461AE7" w:rsidRPr="000C1842" w:rsidRDefault="00461AE7">
                        <w:r>
                          <w:t>deletion</w:t>
                        </w:r>
                      </w:p>
                    </w:tc>
                    <w:tc>
                      <w:tcPr>
                        <w:tcW w:w="883" w:type="dxa"/>
                      </w:tcPr>
                      <w:p w14:paraId="4043B839" w14:textId="4D5942A8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5BFECA4E" w14:textId="77777777" w:rsidR="008511BA" w:rsidRDefault="008511BA" w:rsidP="008511BA"/>
              </w:txbxContent>
            </v:textbox>
            <w10:wrap type="square"/>
          </v:shape>
        </w:pict>
      </w:r>
    </w:p>
    <w:p w14:paraId="7AAA672A" w14:textId="77777777" w:rsidR="008511BA" w:rsidRPr="00B43782" w:rsidRDefault="008511BA" w:rsidP="008511BA">
      <w:pPr>
        <w:ind w:left="360"/>
        <w:jc w:val="both"/>
        <w:rPr>
          <w:sz w:val="22"/>
          <w:szCs w:val="22"/>
        </w:rPr>
      </w:pPr>
      <w:r w:rsidRPr="00B43782">
        <w:rPr>
          <w:sz w:val="22"/>
          <w:szCs w:val="22"/>
        </w:rPr>
        <w:t xml:space="preserve">iii.  </w:t>
      </w:r>
      <w:r w:rsidRPr="00B43782">
        <w:rPr>
          <w:b/>
          <w:sz w:val="22"/>
          <w:szCs w:val="22"/>
        </w:rPr>
        <w:t>A linked list with elements in random order.</w:t>
      </w:r>
      <w:r w:rsidRPr="00B43782">
        <w:rPr>
          <w:sz w:val="22"/>
          <w:szCs w:val="22"/>
        </w:rPr>
        <w:t xml:space="preserve">  Insertion is done at the front of the list.  Deletion requires a linear search.</w:t>
      </w:r>
    </w:p>
    <w:p w14:paraId="7644B197" w14:textId="77777777" w:rsidR="008511BA" w:rsidRPr="00B43782" w:rsidRDefault="008511BA" w:rsidP="008511BA">
      <w:pPr>
        <w:ind w:left="360" w:firstLine="360"/>
        <w:jc w:val="both"/>
        <w:rPr>
          <w:sz w:val="22"/>
          <w:szCs w:val="22"/>
        </w:rPr>
      </w:pPr>
    </w:p>
    <w:p w14:paraId="445DDE06" w14:textId="77777777" w:rsidR="008511BA" w:rsidRPr="00B43782" w:rsidRDefault="002D2385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3326E26">
          <v:shape id="_x0000_s1034" type="#_x0000_t202" style="position:absolute;left:0;text-align:left;margin-left:324pt;margin-top:1.8pt;width:136.35pt;height:49.85pt;z-index:251652608" stroked="f">
            <v:textbox style="mso-next-textbox:#_x0000_s1034">
              <w:txbxContent>
                <w:tbl>
                  <w:tblPr>
                    <w:tblW w:w="2160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350"/>
                    <w:gridCol w:w="810"/>
                  </w:tblGrid>
                  <w:tr w:rsidR="00461AE7" w14:paraId="714BDB97" w14:textId="77777777" w:rsidTr="00913402">
                    <w:tc>
                      <w:tcPr>
                        <w:tcW w:w="1350" w:type="dxa"/>
                      </w:tcPr>
                      <w:p w14:paraId="24A54C1B" w14:textId="77777777" w:rsidR="00461AE7" w:rsidRPr="000C1842" w:rsidRDefault="00461AE7">
                        <w:r>
                          <w:t>add()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46567CB" w14:textId="2DC4DD2A" w:rsidR="00461AE7" w:rsidRPr="00913402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15A3FCAF" w14:textId="77777777" w:rsidTr="00913402">
                    <w:tc>
                      <w:tcPr>
                        <w:tcW w:w="1350" w:type="dxa"/>
                      </w:tcPr>
                      <w:p w14:paraId="06343203" w14:textId="77777777" w:rsidR="00461AE7" w:rsidRPr="000C1842" w:rsidRDefault="00461AE7">
                        <w:r>
                          <w:t>remove()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B6F3DD6" w14:textId="74656674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4F21730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 xml:space="preserve">iv.  </w:t>
      </w:r>
      <w:r w:rsidR="008511BA" w:rsidRPr="00B43782">
        <w:rPr>
          <w:b/>
          <w:sz w:val="22"/>
          <w:szCs w:val="22"/>
        </w:rPr>
        <w:t>A linked list with elements sorted by priority,</w:t>
      </w:r>
      <w:r w:rsidR="008511BA" w:rsidRPr="00B43782">
        <w:rPr>
          <w:sz w:val="22"/>
          <w:szCs w:val="22"/>
        </w:rPr>
        <w:t xml:space="preserve"> highest priority elements in front.  Insertion requires a </w:t>
      </w:r>
      <w:r w:rsidR="00011046">
        <w:rPr>
          <w:sz w:val="22"/>
          <w:szCs w:val="22"/>
        </w:rPr>
        <w:t>traversal</w:t>
      </w:r>
      <w:r w:rsidR="008511BA" w:rsidRPr="00B43782">
        <w:rPr>
          <w:sz w:val="22"/>
          <w:szCs w:val="22"/>
        </w:rPr>
        <w:t xml:space="preserve">.  Deletion means removal of the first node.  </w:t>
      </w:r>
      <w:r w:rsidR="00B05806">
        <w:rPr>
          <w:sz w:val="22"/>
          <w:szCs w:val="22"/>
        </w:rPr>
        <w:t xml:space="preserve">       </w:t>
      </w:r>
    </w:p>
    <w:p w14:paraId="601B62DF" w14:textId="77777777" w:rsidR="008511BA" w:rsidRPr="00B43782" w:rsidRDefault="008511BA" w:rsidP="008511BA">
      <w:pPr>
        <w:jc w:val="both"/>
        <w:rPr>
          <w:sz w:val="22"/>
          <w:szCs w:val="22"/>
        </w:rPr>
      </w:pPr>
    </w:p>
    <w:p w14:paraId="15ACE4EC" w14:textId="77777777" w:rsidR="008511BA" w:rsidRPr="00B43782" w:rsidRDefault="002D2385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60B85EF3">
          <v:shape id="_x0000_s1035" type="#_x0000_t202" style="position:absolute;left:0;text-align:left;margin-left:324pt;margin-top:11.45pt;width:2in;height:57.6pt;z-index:251653632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281FA987" w14:textId="77777777" w:rsidTr="00D251E6">
                    <w:tc>
                      <w:tcPr>
                        <w:tcW w:w="1125" w:type="dxa"/>
                      </w:tcPr>
                      <w:p w14:paraId="492D19D4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4B0A2" w14:textId="77777777" w:rsidR="008511BA" w:rsidRPr="00461AE7" w:rsidRDefault="008511BA">
                        <w:pPr>
                          <w:rPr>
                            <w:b/>
                          </w:rPr>
                        </w:pPr>
                        <w:r w:rsidRPr="00461AE7">
                          <w:rPr>
                            <w:b/>
                          </w:rPr>
                          <w:t>O(log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0390FCC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13C4AD00" w14:textId="77777777" w:rsidTr="00D251E6">
                    <w:tc>
                      <w:tcPr>
                        <w:tcW w:w="1125" w:type="dxa"/>
                      </w:tcPr>
                      <w:p w14:paraId="61B75E29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52A42302" w14:textId="77777777" w:rsidR="008511BA" w:rsidRPr="00461AE7" w:rsidRDefault="008511BA">
                        <w:pPr>
                          <w:rPr>
                            <w:b/>
                          </w:rPr>
                        </w:pPr>
                        <w:r w:rsidRPr="00461AE7">
                          <w:rPr>
                            <w:b/>
                          </w:rPr>
                          <w:t>O(log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DDFF4F1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B2D9EC1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>v.</w:t>
      </w:r>
      <w:r w:rsidR="008511BA" w:rsidRPr="00B43782">
        <w:rPr>
          <w:b/>
          <w:sz w:val="22"/>
          <w:szCs w:val="22"/>
        </w:rPr>
        <w:t xml:space="preserve">  A minimum heap</w:t>
      </w:r>
      <w:r w:rsidR="008511BA" w:rsidRPr="00B43782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B43782">
        <w:rPr>
          <w:sz w:val="22"/>
          <w:szCs w:val="22"/>
        </w:rPr>
        <w:t xml:space="preserve"> its children.  We’ll study min-</w:t>
      </w:r>
      <w:r w:rsidR="008511BA" w:rsidRPr="00B43782">
        <w:rPr>
          <w:sz w:val="22"/>
          <w:szCs w:val="22"/>
        </w:rPr>
        <w:t>heaps when we study trees.   After either insertion or deletion, the binary tree is restored to order (</w:t>
      </w:r>
      <w:proofErr w:type="spellStart"/>
      <w:r w:rsidR="008511BA" w:rsidRPr="00B43782">
        <w:rPr>
          <w:sz w:val="22"/>
          <w:szCs w:val="22"/>
        </w:rPr>
        <w:t>reheaped</w:t>
      </w:r>
      <w:proofErr w:type="spellEnd"/>
      <w:r w:rsidR="008511BA" w:rsidRPr="00B43782">
        <w:rPr>
          <w:sz w:val="22"/>
          <w:szCs w:val="22"/>
        </w:rPr>
        <w:t xml:space="preserve">) in O(log n) time.   </w:t>
      </w:r>
      <w:proofErr w:type="spellStart"/>
      <w:r w:rsidR="008511BA" w:rsidRPr="002D2385">
        <w:rPr>
          <w:sz w:val="22"/>
          <w:szCs w:val="22"/>
        </w:rPr>
        <w:t>java.util.PriorityQueue</w:t>
      </w:r>
      <w:proofErr w:type="spellEnd"/>
      <w:r w:rsidR="008511BA" w:rsidRPr="002D2385">
        <w:rPr>
          <w:sz w:val="22"/>
          <w:szCs w:val="22"/>
        </w:rPr>
        <w:t xml:space="preserve"> actually is a heap.</w:t>
      </w:r>
    </w:p>
    <w:p w14:paraId="24D6F865" w14:textId="77777777" w:rsidR="005C4B9E" w:rsidRPr="003C0480" w:rsidRDefault="005C4B9E">
      <w:pPr>
        <w:rPr>
          <w:sz w:val="20"/>
          <w:szCs w:val="20"/>
        </w:rPr>
      </w:pPr>
    </w:p>
    <w:sectPr w:rsidR="005C4B9E" w:rsidRPr="003C0480" w:rsidSect="007A6749">
      <w:pgSz w:w="12240" w:h="15840"/>
      <w:pgMar w:top="1080" w:right="126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11046"/>
    <w:rsid w:val="000224CD"/>
    <w:rsid w:val="000266F5"/>
    <w:rsid w:val="00027FDA"/>
    <w:rsid w:val="000332F8"/>
    <w:rsid w:val="00033CB5"/>
    <w:rsid w:val="0006128C"/>
    <w:rsid w:val="00064FB3"/>
    <w:rsid w:val="00070FE8"/>
    <w:rsid w:val="000723C8"/>
    <w:rsid w:val="000814F9"/>
    <w:rsid w:val="000A0084"/>
    <w:rsid w:val="000A6B59"/>
    <w:rsid w:val="000B23DD"/>
    <w:rsid w:val="000C1842"/>
    <w:rsid w:val="000C2A1B"/>
    <w:rsid w:val="000D26AB"/>
    <w:rsid w:val="000E19CF"/>
    <w:rsid w:val="000E3DE2"/>
    <w:rsid w:val="000F28AA"/>
    <w:rsid w:val="0011218D"/>
    <w:rsid w:val="00145CB0"/>
    <w:rsid w:val="00175682"/>
    <w:rsid w:val="001759BE"/>
    <w:rsid w:val="00176B99"/>
    <w:rsid w:val="001B064C"/>
    <w:rsid w:val="001B2FFF"/>
    <w:rsid w:val="001D2D2D"/>
    <w:rsid w:val="001D4089"/>
    <w:rsid w:val="001D7AC7"/>
    <w:rsid w:val="001E6698"/>
    <w:rsid w:val="001E725D"/>
    <w:rsid w:val="001F2D62"/>
    <w:rsid w:val="00215128"/>
    <w:rsid w:val="002516CD"/>
    <w:rsid w:val="00253CDB"/>
    <w:rsid w:val="00262654"/>
    <w:rsid w:val="00280E2D"/>
    <w:rsid w:val="002A4D05"/>
    <w:rsid w:val="002C619E"/>
    <w:rsid w:val="002D2385"/>
    <w:rsid w:val="002E31BF"/>
    <w:rsid w:val="002F4FF3"/>
    <w:rsid w:val="00316549"/>
    <w:rsid w:val="00340980"/>
    <w:rsid w:val="0036377C"/>
    <w:rsid w:val="003725AF"/>
    <w:rsid w:val="00376D2A"/>
    <w:rsid w:val="00385503"/>
    <w:rsid w:val="003C0480"/>
    <w:rsid w:val="003C1138"/>
    <w:rsid w:val="00403903"/>
    <w:rsid w:val="00434C27"/>
    <w:rsid w:val="00461AE7"/>
    <w:rsid w:val="00475967"/>
    <w:rsid w:val="00476A17"/>
    <w:rsid w:val="004B55D2"/>
    <w:rsid w:val="004E5A2E"/>
    <w:rsid w:val="004F7A39"/>
    <w:rsid w:val="00540EED"/>
    <w:rsid w:val="005968C2"/>
    <w:rsid w:val="005A1FAA"/>
    <w:rsid w:val="005B285B"/>
    <w:rsid w:val="005C4B9E"/>
    <w:rsid w:val="005D187B"/>
    <w:rsid w:val="005F409F"/>
    <w:rsid w:val="00662A92"/>
    <w:rsid w:val="00695551"/>
    <w:rsid w:val="007022DE"/>
    <w:rsid w:val="00722E4C"/>
    <w:rsid w:val="007478DB"/>
    <w:rsid w:val="007523FF"/>
    <w:rsid w:val="00766C50"/>
    <w:rsid w:val="007A0DB8"/>
    <w:rsid w:val="007A6749"/>
    <w:rsid w:val="007B4772"/>
    <w:rsid w:val="00800093"/>
    <w:rsid w:val="00804421"/>
    <w:rsid w:val="0081031B"/>
    <w:rsid w:val="00815259"/>
    <w:rsid w:val="008451F4"/>
    <w:rsid w:val="008511BA"/>
    <w:rsid w:val="00861B44"/>
    <w:rsid w:val="008A351B"/>
    <w:rsid w:val="008A7FE2"/>
    <w:rsid w:val="008B5CFA"/>
    <w:rsid w:val="008C68CC"/>
    <w:rsid w:val="008E6A95"/>
    <w:rsid w:val="00901AA6"/>
    <w:rsid w:val="00913402"/>
    <w:rsid w:val="00923E50"/>
    <w:rsid w:val="00950F4C"/>
    <w:rsid w:val="009916B4"/>
    <w:rsid w:val="00997E77"/>
    <w:rsid w:val="009D4661"/>
    <w:rsid w:val="009E769D"/>
    <w:rsid w:val="00A0096E"/>
    <w:rsid w:val="00A11B71"/>
    <w:rsid w:val="00A16E04"/>
    <w:rsid w:val="00A31656"/>
    <w:rsid w:val="00A32482"/>
    <w:rsid w:val="00A34DC7"/>
    <w:rsid w:val="00A3738B"/>
    <w:rsid w:val="00A37B78"/>
    <w:rsid w:val="00A47067"/>
    <w:rsid w:val="00A74AB0"/>
    <w:rsid w:val="00A80B9D"/>
    <w:rsid w:val="00A923D6"/>
    <w:rsid w:val="00A959B3"/>
    <w:rsid w:val="00A9651F"/>
    <w:rsid w:val="00AB1651"/>
    <w:rsid w:val="00AB56C8"/>
    <w:rsid w:val="00AC0CF4"/>
    <w:rsid w:val="00AD0561"/>
    <w:rsid w:val="00AE7431"/>
    <w:rsid w:val="00B0168A"/>
    <w:rsid w:val="00B05806"/>
    <w:rsid w:val="00B05BDD"/>
    <w:rsid w:val="00B06141"/>
    <w:rsid w:val="00B1714F"/>
    <w:rsid w:val="00B428AC"/>
    <w:rsid w:val="00B43782"/>
    <w:rsid w:val="00B63A8E"/>
    <w:rsid w:val="00B718AB"/>
    <w:rsid w:val="00B74AAA"/>
    <w:rsid w:val="00BB343C"/>
    <w:rsid w:val="00BB6D73"/>
    <w:rsid w:val="00BD55F9"/>
    <w:rsid w:val="00BE1F1E"/>
    <w:rsid w:val="00C0582A"/>
    <w:rsid w:val="00C26E33"/>
    <w:rsid w:val="00C31E52"/>
    <w:rsid w:val="00C71A27"/>
    <w:rsid w:val="00C87D15"/>
    <w:rsid w:val="00CA54EF"/>
    <w:rsid w:val="00CB01AE"/>
    <w:rsid w:val="00CB286D"/>
    <w:rsid w:val="00CB7BA5"/>
    <w:rsid w:val="00CC3042"/>
    <w:rsid w:val="00CE5267"/>
    <w:rsid w:val="00D20955"/>
    <w:rsid w:val="00D251E6"/>
    <w:rsid w:val="00D376D8"/>
    <w:rsid w:val="00D4528D"/>
    <w:rsid w:val="00D554C9"/>
    <w:rsid w:val="00D612BB"/>
    <w:rsid w:val="00DB6AED"/>
    <w:rsid w:val="00DD0C86"/>
    <w:rsid w:val="00DE2A09"/>
    <w:rsid w:val="00DE6B66"/>
    <w:rsid w:val="00E0179A"/>
    <w:rsid w:val="00E35342"/>
    <w:rsid w:val="00E4392D"/>
    <w:rsid w:val="00E711E0"/>
    <w:rsid w:val="00E85447"/>
    <w:rsid w:val="00E925B3"/>
    <w:rsid w:val="00E926A3"/>
    <w:rsid w:val="00EA69EA"/>
    <w:rsid w:val="00EE0327"/>
    <w:rsid w:val="00F045C3"/>
    <w:rsid w:val="00F172F3"/>
    <w:rsid w:val="00F338EB"/>
    <w:rsid w:val="00F34D01"/>
    <w:rsid w:val="00F367D4"/>
    <w:rsid w:val="00F5269A"/>
    <w:rsid w:val="00FB07BD"/>
    <w:rsid w:val="00FB1B4D"/>
    <w:rsid w:val="00FF197C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6E232E43"/>
  <w15:chartTrackingRefBased/>
  <w15:docId w15:val="{ACB1AE90-A15F-4F75-92D6-19F7E97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61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1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cp:lastModifiedBy>Billington, Marion L</cp:lastModifiedBy>
  <cp:revision>2</cp:revision>
  <cp:lastPrinted>2016-02-04T18:13:00Z</cp:lastPrinted>
  <dcterms:created xsi:type="dcterms:W3CDTF">2022-07-07T14:15:00Z</dcterms:created>
  <dcterms:modified xsi:type="dcterms:W3CDTF">2022-07-07T14:15:00Z</dcterms:modified>
</cp:coreProperties>
</file>