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Architectural Style Selection &amp; Justification</w:t>
      </w:r>
    </w:p>
    <w:p>
      <w:pPr>
        <w:pStyle w:val="Heading3"/>
      </w:pPr>
      <w:r>
        <w:t xml:space="preserve">Corporate Mental Wellness &amp; Counseling Platform</w:t>
      </w:r>
    </w:p>
    <w:p>
      <w:pPr>
        <w:spacing w:after="140"/>
      </w:pPr>
      <w:r>
        <w:rPr>
          <w:b/>
          <w:bCs/>
          <w:sz w:val="24"/>
          <w:szCs w:val="24"/>
        </w:rPr>
        <w:t xml:space="preserve">Architecture Selection</w:t>
      </w:r>
    </w:p>
    <w:p>
      <w:pPr>
        <w:spacing w:after="140"/>
      </w:pPr>
      <w:r>
        <w:t xml:space="preserve">We chose Microservices Architecture for the Corporate Mental Wellness &amp; Counseling Platform System.</w:t>
      </w:r>
    </w:p>
    <w:p>
      <w:pPr>
        <w:spacing w:after="140"/>
      </w:pPr>
      <w:r>
        <w:rPr>
          <w:b/>
          <w:bCs/>
        </w:rPr>
        <w:t xml:space="preserve">Reason 1 — Independent Scalability of Sensitive Workflows</w:t>
      </w:r>
    </w:p>
    <w:p>
      <w:pPr>
        <w:spacing w:after="140"/>
      </w:pPr>
      <w:r>
        <w:t xml:space="preserve">The platform bundles several functionally distinct workloads: real-time booking and scheduling, stress assessments, crisis alerting, and long-term wellness record storage. These components experience very different and unpredictable load patterns — for example, assessment traffic may spike during organisation-wide wellness campaigns while booking traffic stays steady. Microservices allow each capability (Anonymization Service, Booking &amp; Scheduling, Assessment, Crisis Alert) to be deployed and scaled independently, without over-provisioning the entire system to handle a spike in just one workflow.</w:t>
      </w:r>
    </w:p>
    <w:p>
      <w:pPr>
        <w:spacing w:after="140"/>
      </w:pPr>
      <w:r>
        <w:rPr>
          <w:b/>
          <w:bCs/>
        </w:rPr>
        <w:t xml:space="preserve">Reason 2 — Isolation of the Crisis-Response Path</w:t>
      </w:r>
    </w:p>
    <w:p>
      <w:pPr>
        <w:spacing w:after="140"/>
      </w:pPr>
      <w:r>
        <w:t xml:space="preserve">Crisis escalation (FR-005) is the most time-critical and safety-critical use case in this system: a high-risk assessment score must trigger an alert reliably, even if other parts of the platform (e.g., booking or reporting) are degraded or under heavy load. Deploying the Crisis Alert &amp; Notification Component as an independently deployable microservice means it can be given its own resource guarantees, its own uptime SLAs, and can continue operating even if unrelated services fail — something a single monolithic layered application cannot easily guarantee.</w:t>
      </w:r>
    </w:p>
    <w:p>
      <w:pPr>
        <w:spacing w:after="140"/>
      </w:pPr>
      <w:r>
        <w:rPr>
          <w:b/>
          <w:bCs/>
        </w:rPr>
        <w:t xml:space="preserve">Security Advantage</w:t>
      </w:r>
    </w:p>
    <w:p>
      <w:pPr>
        <w:spacing w:after="140"/>
      </w:pPr>
      <w:r>
        <w:t xml:space="preserve">Microservices allow us to physically and logically isolate the Anonymization Service from every other component, including the Data Storage Component. Because employee identity is only ever resolved inside the Anonymization Service and every other service (Booking, Assessment, Crisis Alert) only ever communicates using the pseudo-ID, a compromise of any single downstream service (e.g., the Booking database) cannot expose an employee's real identity — the anonymization boundary is enforced at the service level, not just in application logic. Each service can also be given the minimum data access and encryption keys it needs (principle of least privilege), reducing the blast radius of any one service being breached.</w:t>
      </w:r>
    </w:p>
    <w:p>
      <w:pPr>
        <w:spacing w:after="140"/>
      </w:pPr>
      <w:r>
        <w:rPr>
          <w:b/>
          <w:bCs/>
        </w:rPr>
        <w:t xml:space="preserve">Performance Benefit</w:t>
      </w:r>
    </w:p>
    <w:p>
      <w:pPr>
        <w:spacing w:after="140"/>
      </w:pPr>
      <w:r>
        <w:t xml:space="preserve">Because each microservice is deployed and scaled independently, the Assessment Component (which can experience sudden bursts of concurrent employee self-assessments) can be auto-scaled horizontally during peak periods without needing to scale the Booking &amp; Scheduling or Data Storage services in tandem. This targeted scaling keeps assessment response times low during demand spikes while avoiding the unnecessary infrastructure cost of scaling the entire platform, which would be required in a monolithic layered architecture.</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2026-09-16T05:24:40.848Z</dcterms:created>
  <dcterms:modified xsi:type="dcterms:W3CDTF">2026-09-16T05:24:40.856Z</dcterms:modified>
</cp:coreProperties>
</file>

<file path=docProps/custom.xml><?xml version="1.0" encoding="utf-8"?>
<Properties xmlns="http://schemas.openxmlformats.org/officeDocument/2006/custom-properties" xmlns:vt="http://schemas.openxmlformats.org/officeDocument/2006/docPropsVTypes"/>
</file>