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3A5C"/>
          <w:sz w:val="52"/>
          <w:szCs w:val="52"/>
        </w:rPr>
        <w:t xml:space="preserve">PHYSICAL DESIGN TOOLS</w:t>
      </w:r>
    </w:p>
    <w:p>
      <w:pPr>
        <w:spacing w:after="60"/>
        <w:jc w:val="center"/>
      </w:pPr>
      <w:r>
        <w:rPr>
          <w:rFonts w:ascii="Arial" w:cs="Arial" w:eastAsia="Arial" w:hAnsi="Arial"/>
          <w:b/>
          <w:bCs/>
          <w:color w:val="2E75B6"/>
          <w:sz w:val="44"/>
          <w:szCs w:val="44"/>
        </w:rPr>
        <w:t xml:space="preserve">Complete Industry Comparison</w:t>
      </w:r>
    </w:p>
    <w:p>
      <w:pPr>
        <w:spacing w:after="100"/>
      </w:pPr>
    </w:p>
    <w:p>
      <w:pPr>
        <w:pBdr>
          <w:top w:val="single" w:color="2E75B6" w:sz="4" w:space="8"/>
          <w:bottom w:val="single" w:color="2E75B6" w:sz="4" w:space="8"/>
        </w:pBdr>
        <w:spacing w:before="200" w:after="200"/>
        <w:jc w:val="center"/>
      </w:pPr>
      <w:r>
        <w:rPr>
          <w:rFonts w:ascii="Arial" w:cs="Arial" w:eastAsia="Arial" w:hAnsi="Arial"/>
          <w:i/>
          <w:iCs/>
          <w:color w:val="404040"/>
          <w:sz w:val="26"/>
          <w:szCs w:val="26"/>
        </w:rPr>
        <w:t xml:space="preserve">Open Source  •  Synopsys  •  Cadence  •  Siemens EDA (Mentor)</w:t>
      </w:r>
    </w:p>
    <w:p>
      <w:pPr>
        <w:spacing w:after="100"/>
      </w:pPr>
    </w:p>
    <w:p>
      <w:pPr>
        <w:spacing w:after="100"/>
      </w:pPr>
    </w:p>
    <w:p>
      <w:pPr>
        <w:jc w:val="center"/>
      </w:pPr>
      <w:r>
        <w:rPr>
          <w:rFonts w:ascii="Arial" w:cs="Arial" w:eastAsia="Arial" w:hAnsi="Arial"/>
          <w:color w:val="404040"/>
          <w:sz w:val="22"/>
          <w:szCs w:val="22"/>
        </w:rPr>
        <w:t xml:space="preserve">Document Version: 1.0</w:t>
      </w:r>
    </w:p>
    <w:p>
      <w:pPr>
        <w:jc w:val="center"/>
      </w:pPr>
      <w:r>
        <w:rPr>
          <w:rFonts w:ascii="Arial" w:cs="Arial" w:eastAsia="Arial" w:hAnsi="Arial"/>
          <w:color w:val="404040"/>
          <w:sz w:val="22"/>
          <w:szCs w:val="22"/>
        </w:rPr>
        <w:t xml:space="preserve">Date: March 2026</w:t>
      </w:r>
    </w:p>
    <w:p>
      <w:pPr>
        <w:spacing w:after="100"/>
        <w:jc w:val="center"/>
      </w:pPr>
      <w:r>
        <w:rPr>
          <w:rFonts w:ascii="Arial" w:cs="Arial" w:eastAsia="Arial" w:hAnsi="Arial"/>
          <w:color w:val="404040"/>
          <w:sz w:val="22"/>
          <w:szCs w:val="22"/>
        </w:rPr>
        <w:t xml:space="preserve">Reference for AI Smart Glasses SoC Physical Design Team</w:t>
      </w:r>
    </w:p>
    <w:p>
      <w:pPr>
        <w:spacing w:after="100"/>
      </w:pPr>
    </w:p>
    <w:p>
      <w:pPr>
        <w:spacing w:after="100"/>
      </w:pPr>
    </w:p>
    <w:p>
      <w:pPr>
        <w:spacing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Open Source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Synopsys</w:t>
            </w:r>
          </w:p>
        </w:tc>
        <w:tc>
          <w:tcPr>
            <w:tcW w:type="dxa" w:w="15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Cadence</w:t>
            </w:r>
          </w:p>
        </w:tc>
        <w:tc>
          <w:tcPr>
            <w:tcW w:type="dxa" w:w="150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Siemens EDA</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Master Tool Comparison by PD Stage</w:t>
      </w:r>
    </w:p>
    <w:p>
      <w:pPr>
        <w:spacing w:after="200" w:line="276"/>
      </w:pPr>
      <w:r>
        <w:rPr>
          <w:rFonts w:ascii="Arial" w:cs="Arial" w:eastAsia="Arial" w:hAnsi="Arial"/>
          <w:b w:val="false"/>
          <w:bCs w:val="false"/>
          <w:i w:val="false"/>
          <w:iCs w:val="false"/>
          <w:color w:val="404040"/>
          <w:sz w:val="22"/>
          <w:szCs w:val="22"/>
        </w:rPr>
        <w:t xml:space="preserve">This section provides a comprehensive side-by-side comparison of tools across all four ecosystems: Open Source, Synopsys, Cadence, and Siemens EDA (formerly Mentor Graphics). Each row represents a specific PD function.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PD Function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Synopsys</w:t>
            </w:r>
          </w:p>
        </w:tc>
        <w:tc>
          <w:tcPr>
            <w:tcW w:type="dxa" w:w="1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1560"/>
            <w:tcBorders>
              <w:top w:val="single" w:color="CCCCCC" w:sz="1"/>
              <w:left w:val="single" w:color="CCCCCC" w:sz="1"/>
              <w:bottom w:val="single" w:color="CCCCCC" w:sz="1"/>
              <w:right w:val="single" w:color="CCCCCC" w:sz="1"/>
            </w:tcBorders>
            <w:shd w:fill="5D4037" w:val="clear"/>
            <w:tcMar>
              <w:top w:type="dxa" w:w="80"/>
              <w:left w:type="dxa" w:w="120"/>
              <w:bottom w:type="dxa" w:w="80"/>
              <w:right w:type="dxa" w:w="120"/>
            </w:tcMar>
          </w:tcPr>
          <w:p>
            <w:r>
              <w:rPr>
                <w:rFonts w:ascii="Arial" w:cs="Arial" w:eastAsia="Arial" w:hAnsi="Arial"/>
                <w:b/>
                <w:bCs/>
                <w:color w:val="FFFFFF"/>
                <w:sz w:val="20"/>
                <w:szCs w:val="20"/>
              </w:rPr>
              <w:t xml:space="preserve">Siemens EDA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RTL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 ABC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 Compiler (DC)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Synthesis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Catapult (HLS) / Precision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Unified Synth+PnR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OpenLane 2 (flow)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Fusion Compiler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 Innovus (integrated)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(not unified)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Floorplanning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(init_floorplan)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 Fusion Compiler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Nitro-SoC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Placement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(global_place, detailed_place)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 Fusion Compiler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Nitro-SoC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Clock Tree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(TritonCTS)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(CTS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(CCOpt)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Nitro-SoC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Routing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(TritonRoute)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(Zroute)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(NanoRoute)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Nitro-SoC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Static Timing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Tempus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Questa STA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Parasitic Extraction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OpenRCX (in OpenROAD)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StarRC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Quantus QRC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xRC (Calibre xRC)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IR Drop / EM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(PDNSim) + IR solver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 (ANSYS)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PERC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DRC (Design Rule Check)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(ICV)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 PVS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nmDRC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LVS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(ICV)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 PVS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nmLVS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ERC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(partial)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(ICV)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 PVS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PERC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Logic Equivalence (LEC)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(equiv_*)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Formality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Conformal LEC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Questa Formal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Formal Verification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sby (Symbiyosys)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VC Formal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JasperGold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Questa Formal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Power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(PDNSim)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PrimePower / RedHawk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PERC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Signal Integrity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(limited)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SI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Tempus SI / Quantus SI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HyperLynx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Physical Aware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 OpenROAD (integrated)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Fusion Compiler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Physical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ECO (Eng. Change Order)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(repair_timing)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ECO 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ECO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Nitro-SoC ECO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Layout Editing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Laker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Virtuoso Layout XL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DESIGNrev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Layout Viewer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KLayout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Custom Designer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Virtuoso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DESIGNrev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Memory Compiler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DesignWare (SRAM)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Denali / Proprietary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Foundry-specific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GDSII Streamout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 / OpenROAD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 Virtuoso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Full RTL-to-GDSII 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OpenLane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Fusion Compiler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 Innovus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(multi-tool)</w:t>
            </w:r>
          </w:p>
        </w:tc>
      </w:tr>
    </w:tbl>
    <w:p>
      <w:pPr>
        <w:spacing w:after="100"/>
      </w:pPr>
    </w:p>
    <w:p>
      <w:r>
        <w:br w:type="page"/>
      </w:r>
    </w:p>
    <w:p>
      <w:pPr>
        <w:pStyle w:val="Heading1"/>
      </w:pPr>
      <w:r>
        <w:rPr>
          <w:rFonts w:ascii="Arial" w:cs="Arial" w:eastAsia="Arial" w:hAnsi="Arial"/>
        </w:rPr>
        <w:t xml:space="preserve">2. Detailed Comparison by Stage</w:t>
      </w:r>
    </w:p>
    <w:p>
      <w:pPr>
        <w:pStyle w:val="Heading2"/>
      </w:pPr>
      <w:r>
        <w:rPr>
          <w:rFonts w:ascii="Arial" w:cs="Arial" w:eastAsia="Arial" w:hAnsi="Arial"/>
        </w:rPr>
        <w:t xml:space="preserve">2.1 RTL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Yosys + ABC</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Design Compiler (DC)</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Genus Synthesis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 (ISC License)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Language Support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Verilog-2005, partial SV; VHDL via plugin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Verilog, SystemVerilog, VHDL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Verilog, SystemVerilog, VHDL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Optimization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ABC (Berkeley); good for area + delay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DesignWare library + proprietary opt.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Spatial Opt.; multi-objective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Technology Mapping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Liberty (.lib) format; all standard cells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Liberty + CCS; DesignWare IP</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Liberty + CCS/ECSM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Clock Gating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Basic (via plugin)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Integrated clock gating insertion (ICG)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Integrated clock gating (CCG)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DFT Support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None (external tool needed)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DFT Compiler integrated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Modus DFT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Physical Awareness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Via OpenROAD integration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Fusion Compiler (unified)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 Physical (floorplan-aware)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Scripting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 Yosys commands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(synopsys_dc.setup)</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(genus command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mature node, well-supported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industry standard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industry standard</w:t>
            </w:r>
          </w:p>
        </w:tc>
      </w:tr>
    </w:tbl>
    <w:p>
      <w:pPr>
        <w:spacing w:after="100"/>
      </w:pPr>
    </w:p>
    <w:p>
      <w:pPr>
        <w:pStyle w:val="Heading2"/>
      </w:pPr>
      <w:r>
        <w:rPr>
          <w:rFonts w:ascii="Arial" w:cs="Arial" w:eastAsia="Arial" w:hAnsi="Arial"/>
        </w:rPr>
        <w:t xml:space="preserve">2.2 Static Timing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OpenSTA</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PrimeTime (PT)</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Tempus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 (GPLv3)</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Multi-Corner Multi-Mode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(manual corner setup)</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MCMM integrated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MCMM integrated (MMMC)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OCV / AOCV / POCV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OCV (basic); AOCV via manual derate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AOCV/POCV/SOCV</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AOCV/POCV/SOCV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SI (Signal Integrity)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SI (crosstalk-aware)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Tempus SI (crosstalk-aware)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Parasitic 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 / DSPF / SBPF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 / DSPF / QRC native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ECO Guidance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Report-based (manual ECO)</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PT-ECO with auto-fix suggestions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Tempus ECO with Innovus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SDF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(signoff-quality)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(signoff-quality)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Constraint Format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 (standard)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 (standard)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OCV sufficient at 180nm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gold standard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gold standard</w:t>
            </w:r>
          </w:p>
        </w:tc>
      </w:tr>
    </w:tbl>
    <w:p>
      <w:pPr>
        <w:spacing w:after="100"/>
      </w:pPr>
    </w:p>
    <w:p>
      <w:pPr>
        <w:pStyle w:val="Heading2"/>
      </w:pPr>
      <w:r>
        <w:rPr>
          <w:rFonts w:ascii="Arial" w:cs="Arial" w:eastAsia="Arial" w:hAnsi="Arial"/>
        </w:rPr>
        <w:t xml:space="preserve">2.3 Place and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OpenROAD</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IC Compiler 2 (ICC2)</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Innovus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 (BSD 3-Clause)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Placement Engine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RePlAce (global) + OpenDP (detail)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Proprietary (concurrent opt.)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ePlace (global) + NanoPlace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CTS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TritonCTS 2.0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CTS (multi-source, useful skew)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CCOpt (concurrent clock optimization)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Routing Engine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TritonRoute (detailed) + FastRoute (global)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Zroute (signoff-quality)</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NanoRoute (signoff-quality)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Optimization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Resizer (gate sizing, buffering)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Concurrent timing/area/power opt.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GigaOpt (multi-objective)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Power Grid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PDN generation (stripes + rings)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power network synthesis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FloorPlan + PowerPlan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Parasitic Extraction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OpenRCX (integrated)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Requires StarRC (separate)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QRC integrated in Innovus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IR Drop (in-design)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PDNSim (basic static)</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 fusion (in-design)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Voltus-inside-Innovus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Scripting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(OpenROAD commands)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(icc2_shell)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 (innovus commands)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very capable at mature nodes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industry standard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industry standard</w:t>
            </w:r>
          </w:p>
        </w:tc>
      </w:tr>
    </w:tbl>
    <w:p>
      <w:pPr>
        <w:spacing w:after="100"/>
      </w:pPr>
    </w:p>
    <w:p>
      <w:r>
        <w:br w:type="page"/>
      </w:r>
    </w:p>
    <w:p>
      <w:pPr>
        <w:pStyle w:val="Heading2"/>
      </w:pPr>
      <w:r>
        <w:rPr>
          <w:rFonts w:ascii="Arial" w:cs="Arial" w:eastAsia="Arial" w:hAnsi="Arial"/>
        </w:rPr>
        <w:t xml:space="preserve">2.4 Physical Verification (DRC + LVS)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Magic + Netgen + KLayout</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IC Validator (ICV)</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Pegasus / PVS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DRC Engine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(interactive) + KLayout (scripted)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(batch + in-design in ICC2)</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(batch + in-design in Innovus)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LVS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 (SPICE-level comparison)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LVS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LVS / PVS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ERC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(basic well/substrate checks)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ERC (comprehensive)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ERC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In-Design DRC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Via OpenROAD DRC checks (basic)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 DRC inside ICC2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 DRC inside Innovus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Rule Deck Format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(.tech) + KLayout (.drc Ruby/Python)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rule deck (.rs)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PVS rule deck (.pvl)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Antenna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antenna rules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antenna checking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antenna checking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Density Check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KLayout density scripts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ICV density verification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density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 — 180nm DRC rules are simple enough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Siemens Alternative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nmDRC + nmLVS (industry gold standard for signoff PV)</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Note on Calibre</w:t>
            </w:r>
          </w:p>
          <w:p>
            <w:pPr>
              <w:spacing w:after="0"/>
            </w:pPr>
            <w:r>
              <w:rPr>
                <w:rFonts w:ascii="Arial" w:cs="Arial" w:eastAsia="Arial" w:hAnsi="Arial"/>
                <w:color w:val="404040"/>
                <w:sz w:val="20"/>
                <w:szCs w:val="20"/>
              </w:rPr>
              <w:t xml:space="preserve">Siemens EDA (formerly Mentor Graphics) Calibre is considered the industry gold standard for physical verification. Many foundries, including some for 180nm, provide their DRC/LVS decks exclusively in Calibre format. When working with SCL Mohali, confirm whether their DRC/LVS deck is provided for ICV (Synopsys), Pegasus (Cadence), Calibre (Siemens), or multiple formats.</w:t>
            </w:r>
          </w:p>
        </w:tc>
      </w:tr>
    </w:tbl>
    <w:p>
      <w:pPr>
        <w:spacing w:after="100"/>
      </w:pPr>
    </w:p>
    <w:p>
      <w:pPr>
        <w:pStyle w:val="Heading2"/>
      </w:pPr>
      <w:r>
        <w:rPr>
          <w:rFonts w:ascii="Arial" w:cs="Arial" w:eastAsia="Arial" w:hAnsi="Arial"/>
        </w:rPr>
        <w:t xml:space="preserve">2.5 Power Integrity and EM/IR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OpenROAD PDNSim</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RedHawk (Synopsys/ANSYS)</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Voltus (Cadence)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Static IR Drop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(basic grid analysis)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(full signoff)</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(full signoff)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Dynamic IR Drop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Limited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(VCD-based transient analysis)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(VCD-based transient analysis)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Electromigration (EM)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(per-wire and per-via EM check)</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 (EM analysis with 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Power Estimation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Basic switching power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PrimePower (activity-based)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 (activity-based)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Thermal Analysis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RedHawk-SC (chip-package thermal)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 thermal co-simulation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EM + self-heating + aging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EM + self-heating + BTI aging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Adequate for early estimation; flag issues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r>
    </w:tbl>
    <w:p>
      <w:pPr>
        <w:spacing w:after="100"/>
      </w:pPr>
    </w:p>
    <w:p>
      <w:pPr>
        <w:pStyle w:val="Heading2"/>
      </w:pPr>
      <w:r>
        <w:rPr>
          <w:rFonts w:ascii="Arial" w:cs="Arial" w:eastAsia="Arial" w:hAnsi="Arial"/>
        </w:rPr>
        <w:t xml:space="preserve">2.6 Logic Equivalence Checking (LEC)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Yosys (equiv_* commands)</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Formality</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Conformal LEC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Methodology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SAT-based equivalence; basic miter checking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Formal proof engine; industry standard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Formal proof engine; industry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Hierarchical LEC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Limited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hierarchical with retiming support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hierarchical with retiming support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Debug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Counter-example via SAT solver</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GUI-based failing point debug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GUI-based failing point debug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Capacity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Small to medium designs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Multi-million gate designs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Multi-million gate designs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Post-CTS / Post-Route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Basic (manual setup needed)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Fully automated post-PnR flow</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Fully automated post-PnR 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Adequate for module-level; flag issues early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r>
    </w:tbl>
    <w:p>
      <w:pPr>
        <w:spacing w:after="100"/>
      </w:pPr>
    </w:p>
    <w:p>
      <w:pPr>
        <w:pStyle w:val="Heading2"/>
      </w:pPr>
      <w:r>
        <w:rPr>
          <w:rFonts w:ascii="Arial" w:cs="Arial" w:eastAsia="Arial" w:hAnsi="Arial"/>
        </w:rPr>
        <w:t xml:space="preserve">2.7 Parasitic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OpenRCX</w:t>
            </w:r>
          </w:p>
        </w:tc>
        <w:tc>
          <w:tcPr>
            <w:tcW w:type="dxa" w:w="2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StarRC</w:t>
            </w:r>
          </w:p>
        </w:tc>
        <w:tc>
          <w:tcPr>
            <w:tcW w:type="dxa" w:w="24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Quantus QRC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 Source (in OpenROAD)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Extraction 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RC (lumped + distributed)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RC: lumped, distributed, coupled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RC: lumped, distributed, coupled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Output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 / DSPF / SBPF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 / DSPF / native QRC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Accuracy at 180nm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Sufficient — coupling less critical at wide spacing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Gold standard accuracy</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Gold standard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Coupling Capacitance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Basic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coupling with reduction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coupling with reduction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Inductance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Optional inductance extraction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Optional inductance extraction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180nm Suitability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Good for iteration; commercial tool for signoff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signoff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Siemens Alternative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Calibre xRC (also widely used for extraction)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t>
            </w:r>
          </w:p>
        </w:tc>
      </w:tr>
    </w:tbl>
    <w:p>
      <w:pPr>
        <w:spacing w:after="100"/>
      </w:pPr>
    </w:p>
    <w:p>
      <w:r>
        <w:br w:type="page"/>
      </w:r>
    </w:p>
    <w:p>
      <w:pPr>
        <w:pStyle w:val="Heading1"/>
      </w:pPr>
      <w:r>
        <w:rPr>
          <w:rFonts w:ascii="Arial" w:cs="Arial" w:eastAsia="Arial" w:hAnsi="Arial"/>
        </w:rPr>
        <w:t xml:space="preserve">3. End-to-End Flow Comparison</w:t>
      </w:r>
    </w:p>
    <w:p>
      <w:pPr>
        <w:spacing w:after="200" w:line="276"/>
      </w:pPr>
      <w:r>
        <w:rPr>
          <w:rFonts w:ascii="Arial" w:cs="Arial" w:eastAsia="Arial" w:hAnsi="Arial"/>
          <w:b w:val="false"/>
          <w:bCs w:val="false"/>
          <w:i w:val="false"/>
          <w:iCs w:val="false"/>
          <w:color w:val="404040"/>
          <w:sz w:val="22"/>
          <w:szCs w:val="22"/>
        </w:rPr>
        <w:t xml:space="preserve">This section shows how each ecosystem assembles tools into a complete RTL-to-GDSII flow. The stages are identical; only the tool names change.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PD Stage</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 Source Flow</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Synopsys Flow</w:t>
            </w:r>
          </w:p>
        </w:tc>
        <w:tc>
          <w:tcPr>
            <w:tcW w:type="dxa" w:w="23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Cadence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 RTL Synthesis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 ABC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 Compiler (DC)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2. Gate-Level Sim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Icarus Verilog / Verilator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VCS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Xcelium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3. SDC Constraints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Written manually / Claude-generated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Written manually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Written manually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4. Floorplan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(init_floorplan)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(create_floorplan)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(floorPlan)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5. Placement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(global_place + detail_place)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(place_opt)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(placeDesign)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6. CTS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(TritonCTS)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(clock_opt)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(ccopt_design)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7. Routing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(global_route + detail_route)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(route_auto)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(routeDesign)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8. Parasitic Extraction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OpenRCX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StarRC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Quantus QRC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9. STA Sign-off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 (multi-corner)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(MCMM)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Tempus (MMMC)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10. DRC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 Calibre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11. LVS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Pegasus / Calibre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12. IR Drop / 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PDNSim (basic)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Voltus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13. LEC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equiv_*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Formality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Conformal LEC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14. GDSII Export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(write_gds)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Innovus (streamOut)</w:t>
            </w:r>
          </w:p>
        </w:tc>
      </w:tr>
    </w:tbl>
    <w:p>
      <w:pPr>
        <w:spacing w:after="100"/>
      </w:pPr>
    </w:p>
    <w:p>
      <w:r>
        <w:br w:type="page"/>
      </w:r>
    </w:p>
    <w:p>
      <w:pPr>
        <w:pStyle w:val="Heading1"/>
      </w:pPr>
      <w:r>
        <w:rPr>
          <w:rFonts w:ascii="Arial" w:cs="Arial" w:eastAsia="Arial" w:hAnsi="Arial"/>
        </w:rPr>
        <w:t xml:space="preserve">4. 180nm-Specific Tool Considerations</w:t>
      </w:r>
    </w:p>
    <w:p>
      <w:pPr>
        <w:spacing w:after="200" w:line="276"/>
      </w:pPr>
      <w:r>
        <w:rPr>
          <w:rFonts w:ascii="Arial" w:cs="Arial" w:eastAsia="Arial" w:hAnsi="Arial"/>
          <w:b w:val="false"/>
          <w:bCs w:val="false"/>
          <w:i w:val="false"/>
          <w:iCs w:val="false"/>
          <w:color w:val="404040"/>
          <w:sz w:val="22"/>
          <w:szCs w:val="22"/>
        </w:rPr>
        <w:t xml:space="preserve">At the 180nm process node, certain tool capabilities that are critical at advanced nodes become less important. This section highlights what matters and what doesn’t at 180nm.</w:t>
      </w:r>
    </w:p>
    <w:p>
      <w:pPr>
        <w:spacing w:after="100"/>
      </w:pPr>
    </w:p>
    <w:p>
      <w:pPr>
        <w:pStyle w:val="Heading2"/>
      </w:pPr>
      <w:r>
        <w:rPr>
          <w:rFonts w:ascii="Arial" w:cs="Arial" w:eastAsia="Arial" w:hAnsi="Arial"/>
        </w:rPr>
        <w:t xml:space="preserve">4.1 Features That Matter at 180nm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Open Source Capability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Basic DRC/LVS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Manufacturing correctness is always essential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Fully capable (Magic + Netgen)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Setup/Hold STA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Timing closure is required at any node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Fully capable (OpenSTA)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CTS with skew control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Clock tree balance affects timing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Capable (TritonCTS) — sufficient for 100–200 MHz</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IR Drop (static)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Power grid must deliver current without excessive drop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Capable (PDNSim)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Metal density fill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180nm has density rules per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Capable (OpenROAD fill + KLayout scripts)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SRAM macro placement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Large macros dominate 180nm die area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Capable (OpenROAD macro placement)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Multi-clock domain STA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SoC has 4 clock domains requiring correct constraints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Capable (OpenSTA with SDC)</w:t>
            </w:r>
          </w:p>
        </w:tc>
      </w:tr>
    </w:tbl>
    <w:p>
      <w:pPr>
        <w:spacing w:after="100"/>
      </w:pPr>
    </w:p>
    <w:p>
      <w:pPr>
        <w:pStyle w:val="Heading2"/>
      </w:pPr>
      <w:r>
        <w:rPr>
          <w:rFonts w:ascii="Arial" w:cs="Arial" w:eastAsia="Arial" w:hAnsi="Arial"/>
        </w:rPr>
        <w:t xml:space="preserve">4.2 Features Less Critical at 180nm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Less Critical</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Commercial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AOCV / POCV / SOCV</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On-chip variation is small at 180nm; basic OCV derate is sufficient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 Tempus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Signal Integrity (SI)</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Wide metal spacing at 180nm means minimal crosstalk coupling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 SI / Tempus 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FinFET modeling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180nm is planar MOSFET — no FinFET effects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Double/multi-patterning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Single-patterning at 180nm — no coloring constraints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 Innovus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Advanced EM 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EM limits are relaxed at 180nm; basic checks sufficient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 / Voltus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Self-heating analysis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Negligible at 180nm power densities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 / Voltus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3D extraction (inductance)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Not needed at 180nm frequencies (100–200 MHz)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StarRC / QRC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Machine learning optimization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Overkill for 180nm complexity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ML / Innovus ML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48235" w:sz="2"/>
              <w:left w:val="single" w:color="548235" w:sz="2"/>
              <w:bottom w:val="single" w:color="548235" w:sz="2"/>
              <w:right w:val="single" w:color="548235" w:sz="2"/>
            </w:tcBorders>
            <w:shd w:fill="E8F5E9" w:val="clear"/>
            <w:tcMar>
              <w:top w:type="dxa" w:w="120"/>
              <w:left w:type="dxa" w:w="200"/>
              <w:bottom w:type="dxa" w:w="120"/>
              <w:right w:type="dxa" w:w="200"/>
            </w:tcMar>
          </w:tcPr>
          <w:p>
            <w:pPr>
              <w:spacing w:after="80"/>
            </w:pPr>
            <w:r>
              <w:rPr>
                <w:rFonts w:ascii="Arial" w:cs="Arial" w:eastAsia="Arial" w:hAnsi="Arial"/>
                <w:b/>
                <w:bCs/>
                <w:color w:val="548235"/>
                <w:sz w:val="22"/>
                <w:szCs w:val="22"/>
              </w:rPr>
              <w:t xml:space="preserve">Bottom Line for 180nm</w:t>
            </w:r>
          </w:p>
          <w:p>
            <w:pPr>
              <w:spacing w:after="0"/>
            </w:pPr>
            <w:r>
              <w:rPr>
                <w:rFonts w:ascii="Arial" w:cs="Arial" w:eastAsia="Arial" w:hAnsi="Arial"/>
                <w:color w:val="404040"/>
                <w:sz w:val="20"/>
                <w:szCs w:val="20"/>
              </w:rPr>
              <w:t xml:space="preserve">At 180nm, the gap between open-source and commercial tools is the smallest it will ever be. The features that differentiate commercial tools (advanced OCV, SI, FinFET, multi-patterning, ML optimization) are all targeted at 16nm and below. At 180nm, open-source tools cover 90%+ of what you need for iteration and pre-convergence. Commercial tools are needed only for final sign-off and foundry DRC/LVS deck compatibility.</w:t>
            </w:r>
          </w:p>
        </w:tc>
      </w:tr>
    </w:tbl>
    <w:p>
      <w:pPr>
        <w:spacing w:after="100"/>
      </w:pPr>
    </w:p>
    <w:p>
      <w:r>
        <w:br w:type="page"/>
      </w:r>
    </w:p>
    <w:p>
      <w:pPr>
        <w:pStyle w:val="Heading1"/>
      </w:pPr>
      <w:r>
        <w:rPr>
          <w:rFonts w:ascii="Arial" w:cs="Arial" w:eastAsia="Arial" w:hAnsi="Arial"/>
        </w:rPr>
        <w:t xml:space="preserve">5. Licensing and Cost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Synopsys</w:t>
            </w:r>
          </w:p>
        </w:tc>
        <w:tc>
          <w:tcPr>
            <w:tcW w:type="dxa" w:w="23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License 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Free and open (ISC, BSD, GPL, Apache)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Annual subscription or perpetual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Annual subscription or perpetual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Cost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$100K–$500K+/year per seat (varies by tools)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$100K–$500K+/year per seat (varies by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Source 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Fully available; modifiable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Proprietary; binary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Proprietary; binary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Support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Community + academic (open forums, GitHub)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Dedicated support engineers + TAC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Dedicated support engineers + TAC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PDK Availability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 (free); others limited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foundry PDKs via NDA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foundry PDKs via NDA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Training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Documentation + tutorials + academic papers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University + formal training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Cadence University + formal 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Updates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Continuous (GitHub); varies by project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Quarterly/annual releases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Quarterly/annual releases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Foundry Sign-off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Not accepted by foundries for tape-out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Accepted (ICV, PT, DC)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Accepted (Pegasus, Tempus, Genus/Innovus)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48235" w:sz="2"/>
              <w:left w:val="single" w:color="548235" w:sz="2"/>
              <w:bottom w:val="single" w:color="548235" w:sz="2"/>
              <w:right w:val="single" w:color="548235" w:sz="2"/>
            </w:tcBorders>
            <w:shd w:fill="E8F5E9" w:val="clear"/>
            <w:tcMar>
              <w:top w:type="dxa" w:w="120"/>
              <w:left w:type="dxa" w:w="200"/>
              <w:bottom w:type="dxa" w:w="120"/>
              <w:right w:type="dxa" w:w="200"/>
            </w:tcMar>
          </w:tcPr>
          <w:p>
            <w:pPr>
              <w:spacing w:after="80"/>
            </w:pPr>
            <w:r>
              <w:rPr>
                <w:rFonts w:ascii="Arial" w:cs="Arial" w:eastAsia="Arial" w:hAnsi="Arial"/>
                <w:b/>
                <w:bCs/>
                <w:color w:val="548235"/>
                <w:sz w:val="22"/>
                <w:szCs w:val="22"/>
              </w:rPr>
              <w:t xml:space="preserve">Our Approach</w:t>
            </w:r>
          </w:p>
          <w:p>
            <w:pPr>
              <w:spacing w:after="0"/>
            </w:pPr>
            <w:r>
              <w:rPr>
                <w:rFonts w:ascii="Arial" w:cs="Arial" w:eastAsia="Arial" w:hAnsi="Arial"/>
                <w:color w:val="404040"/>
                <w:sz w:val="20"/>
                <w:szCs w:val="20"/>
              </w:rPr>
              <w:t xml:space="preserve">Use open-source tools (free) for all iteration and pre-convergence — this is where 80% of engineering time is spent. Use commercial Synopsys tools (licensed) only for final sign-off and SCL Mohali tape-out — this is 20% of the effort. This maximizes value from commercial licenses while keeping iteration speed high.</w:t>
            </w:r>
          </w:p>
        </w:tc>
      </w:tr>
    </w:tbl>
    <w:p>
      <w:pPr>
        <w:spacing w:after="100"/>
      </w:pPr>
    </w:p>
    <w:p>
      <w:r>
        <w:br w:type="page"/>
      </w:r>
    </w:p>
    <w:p>
      <w:pPr>
        <w:pStyle w:val="Heading1"/>
      </w:pPr>
      <w:r>
        <w:rPr>
          <w:rFonts w:ascii="Arial" w:cs="Arial" w:eastAsia="Arial" w:hAnsi="Arial"/>
        </w:rPr>
        <w:t xml:space="preserve">6. Cross-Ecosystem File Format Compatibility</w:t>
      </w:r>
    </w:p>
    <w:p>
      <w:pPr>
        <w:spacing w:after="200" w:line="276"/>
      </w:pPr>
      <w:r>
        <w:rPr>
          <w:rFonts w:ascii="Arial" w:cs="Arial" w:eastAsia="Arial" w:hAnsi="Arial"/>
          <w:b w:val="false"/>
          <w:bCs w:val="false"/>
          <w:i w:val="false"/>
          <w:iCs w:val="false"/>
          <w:color w:val="404040"/>
          <w:sz w:val="22"/>
          <w:szCs w:val="22"/>
        </w:rPr>
        <w:t xml:space="preserve">A critical advantage of the PD industry is standardized file formats. This table shows which formats are shared across all ecosystems, enabling seamless migration from open-source iteration to commercial sign-off.</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Synopsys</w:t>
            </w:r>
          </w:p>
        </w:tc>
        <w:tc>
          <w:tcPr>
            <w:tcW w:type="dxa" w:w="23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SDC (constraints)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(OpenSTA)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(PrimeTime, DC)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(Tempus, Genus)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Liberty .lib (timing)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(all tools)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(all tools)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(all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LEF (physical abstracts)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(OpenROAD)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(ICC2)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(Innovus)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DEF (design exchange)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(OpenROAD)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(ICC2)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(Innovus)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SPEF (parasitics)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(OpenSTA)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(StarRC, 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(QRC, Tempus)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SDF (timing annotation)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UPF (power intent)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Partial (OpenROAD)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(ICC2, Formality)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(Innovus, Conformal)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GDSII (layout)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(Magic, KLayout)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(ICC2, Laker)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Native (Innovus, Virtuoso)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Verilog netlist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SPICE (circuit netlist)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 (Netgen)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VCD (switching activity)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 Full support</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Every standard format (✓) transfers directly between ecosystems. This means the SDC constraints validated in OpenSTA work identically in PrimeTime. The DEF floorplan from OpenROAD can be imported into ICC2. The GDSII from KLayout is the same format ICC2 exports. This interoperability is the foundation of our open-source pre-convergence strategy.</w:t>
      </w:r>
    </w:p>
    <w:p>
      <w:r>
        <w:br w:type="page"/>
      </w:r>
    </w:p>
    <w:p>
      <w:pPr>
        <w:pStyle w:val="Heading1"/>
      </w:pPr>
      <w:r>
        <w:rPr>
          <w:rFonts w:ascii="Arial" w:cs="Arial" w:eastAsia="Arial" w:hAnsi="Arial"/>
        </w:rPr>
        <w:t xml:space="preserve">7. Recommendation for AI Glasses SoC</w:t>
      </w:r>
    </w:p>
    <w:p>
      <w:pPr>
        <w:pStyle w:val="Heading2"/>
      </w:pPr>
      <w:r>
        <w:rPr>
          <w:rFonts w:ascii="Arial" w:cs="Arial" w:eastAsia="Arial" w:hAnsi="Arial"/>
        </w:rPr>
        <w:t xml:space="preserve">7.1 Recommended Toolchain</w:t>
      </w:r>
    </w:p>
    <w:p>
      <w:pPr>
        <w:spacing w:after="200" w:line="276"/>
      </w:pPr>
      <w:r>
        <w:rPr>
          <w:rFonts w:ascii="Arial" w:cs="Arial" w:eastAsia="Arial" w:hAnsi="Arial"/>
          <w:b w:val="false"/>
          <w:bCs w:val="false"/>
          <w:i w:val="false"/>
          <w:iCs w:val="false"/>
          <w:color w:val="404040"/>
          <w:sz w:val="22"/>
          <w:szCs w:val="22"/>
        </w:rPr>
        <w:t xml:space="preserve">Based on the project’s requirements (180nm at SCL Mohali, moderate complexity, aggressive schedule, cost-sensitivity for iteration), the recommended approach is a hybrid toolchain: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Iteration Tool (Claude Loops)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Sign-off Tool (PD Engineer)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Synthesis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 ABC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DC (SCL 180nm libs)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STA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PrimeTime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Floorplan + PnR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(SKY130 PDK)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ICC1/ICC2 (SCL 180nm PDK)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Parasitic Extraction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OpenRCX</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StarRC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DRC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KLayout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ICV (SCL DRC deck)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LVS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ICV (SCL LVS deck)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Power Integrity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PDNSim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RedHawk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LEC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equiv_*</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Formality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404040"/>
                <w:sz w:val="20"/>
                <w:szCs w:val="20"/>
              </w:rPr>
              <w:t xml:space="preserve">Full Flow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OpenLane 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Synopsys Fusion Compiler (optional)</w:t>
            </w:r>
          </w:p>
        </w:tc>
      </w:tr>
    </w:tbl>
    <w:p>
      <w:pPr>
        <w:spacing w:after="100"/>
      </w:pPr>
    </w:p>
    <w:p>
      <w:pPr>
        <w:pStyle w:val="Heading2"/>
      </w:pPr>
      <w:r>
        <w:rPr>
          <w:rFonts w:ascii="Arial" w:cs="Arial" w:eastAsia="Arial" w:hAnsi="Arial"/>
        </w:rPr>
        <w:t xml:space="preserve">7.2 Why Synopsys as the Commercial Flow</w:t>
      </w:r>
    </w:p>
    <w:p>
      <w:pPr>
        <w:spacing w:after="200" w:line="276"/>
      </w:pPr>
      <w:r>
        <w:rPr>
          <w:rFonts w:ascii="Arial" w:cs="Arial" w:eastAsia="Arial" w:hAnsi="Arial"/>
          <w:b w:val="false"/>
          <w:bCs w:val="false"/>
          <w:i w:val="false"/>
          <w:iCs w:val="false"/>
          <w:color w:val="404040"/>
          <w:sz w:val="22"/>
          <w:szCs w:val="22"/>
        </w:rPr>
        <w:t xml:space="preserve">The decision between Synopsys and Cadence for the commercial sign-off flow depends on what SCL Mohali supports. Based on our team discussion, SCL’s 180nm PDK is validated against the Synopsys flow (DC + ICC + PrimeTime + ICV + RedHawk + Formality). This makes Synopsys the natural choice for sign-off. However, the SDC, UPF, LEF, DEF, SPEF, and GDSII files generated during open-source iteration are equally compatible with the Cadence flow (Genus + Innovus + Tempus + Pegasus + Voltus + Conformal) if the team ever switches ecosystems.</w:t>
      </w:r>
    </w:p>
    <w:p>
      <w:pPr>
        <w:pStyle w:val="Heading2"/>
      </w:pPr>
      <w:r>
        <w:rPr>
          <w:rFonts w:ascii="Arial" w:cs="Arial" w:eastAsia="Arial" w:hAnsi="Arial"/>
        </w:rPr>
        <w:t xml:space="preserve">7.3 Migration Path</w:t>
      </w:r>
    </w:p>
    <w:p>
      <w:pPr>
        <w:spacing w:after="200" w:line="276"/>
      </w:pPr>
      <w:r>
        <w:rPr>
          <w:rFonts w:ascii="Arial" w:cs="Arial" w:eastAsia="Arial" w:hAnsi="Arial"/>
          <w:b w:val="false"/>
          <w:bCs w:val="false"/>
          <w:i w:val="false"/>
          <w:iCs w:val="false"/>
          <w:color w:val="404040"/>
          <w:sz w:val="22"/>
          <w:szCs w:val="22"/>
        </w:rPr>
        <w:t xml:space="preserve">The open-source flow produces industry-standard deliverables that map directly to commercial tools. No information is lost in the transition. The SDC constraints, floorplan decisions, CTS strategy, and optimization approach all transfer. What changes is only the specific tool commands and the PDK-specific cell names and design rules. Your PD engineer replaces the SKY130 references with SCL 180nm equivalents, adjusts any process-specific parameters, and runs the sign-off flow on an already-converged design.</w:t>
      </w:r>
    </w:p>
    <w:p>
      <w:pPr>
        <w:spacing w:after="100"/>
      </w:pPr>
    </w:p>
    <w:p>
      <w:pPr>
        <w:spacing w:after="100"/>
      </w:pPr>
    </w:p>
    <w:p>
      <w:pPr>
        <w:spacing w:after="100"/>
      </w:pPr>
    </w:p>
    <w:p>
      <w:pPr>
        <w:spacing w:before="400"/>
        <w:jc w:val="center"/>
      </w:pPr>
      <w:r>
        <w:rPr>
          <w:rFonts w:ascii="Arial" w:cs="Arial" w:eastAsia="Arial" w:hAnsi="Arial"/>
          <w:i/>
          <w:iCs/>
          <w:color w:val="40404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2E75B6"/>
        <w:sz w:val="18"/>
        <w:szCs w:val="18"/>
      </w:rPr>
      <w:t xml:space="preserve">PD Tools Comparison — Open Source vs. Commercial</w:t>
    </w:r>
    <w:r>
      <w:rPr>
        <w:rFonts w:ascii="Arial" w:cs="Arial" w:eastAsia="Arial" w:hAnsi="Arial"/>
        <w:i/>
        <w:iCs/>
        <w:color w:val="404040"/>
        <w:sz w:val="18"/>
        <w:szCs w:val="18"/>
      </w:rPr>
      <w:t xml:space="preserve">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2026-03-10T13:47:52.370Z</dcterms:created>
  <dcterms:modified xsi:type="dcterms:W3CDTF">2026-03-10T13:47:52.371Z</dcterms:modified>
</cp:coreProperties>
</file>

<file path=docProps/custom.xml><?xml version="1.0" encoding="utf-8"?>
<Properties xmlns="http://schemas.openxmlformats.org/officeDocument/2006/custom-properties" xmlns:vt="http://schemas.openxmlformats.org/officeDocument/2006/docPropsVTypes"/>
</file>