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ACL Functional &amp;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/>
            <w:r>
              <w:rPr>
                <w:b w:val="0"/>
                <w:sz w:val="18"/>
              </w:rPr>
              <w:t>SWTID-2026-6990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/>
            <w:r>
              <w:rPr>
                <w:b w:val="0"/>
                <w:sz w:val="18"/>
              </w:rPr>
              <w:t>Script-Controlled ACL -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User Role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Impersonate users with bb1, bb2, bb3 and bb4 and check access.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Access matches the role configured for each ACL operation.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Branch Field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Create records with ECE, EEE and CSE Branch values.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Records save with the correct Branch value.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READ ACL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Use an EEE user to open Institution Details records.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EEE user can view EEE records according to the configured ACL.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Admin Access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Impersonate admin and open records across branches.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Admin retains full access.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FT-05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CREATE ACL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Attempt record creation using an authorized and unauthorized user.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Only users with the required create role can create records.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FT-06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WRITE ACL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Attempt editing using bb3 and a user without bb3.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Only the authorized user can update records.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ACL Response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Open and refresh the Institution Details list with ACL evaluation enabled.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rPr>
                <w:b w:val="0"/>
                <w:sz w:val="18"/>
              </w:rPr>
              <w:t>Access evaluation completes without noticeable delay during normal testing.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