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ACL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/>
            <w:r>
              <w:rPr>
                <w:b w:val="0"/>
                <w:sz w:val="18"/>
              </w:rPr>
              <w:t>SWTID-2026-6990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/>
            <w:r>
              <w:rPr>
                <w:b w:val="0"/>
                <w:sz w:val="18"/>
              </w:rPr>
              <w:t>Script-Controlled ACL -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18"/>
              </w:rPr>
              <w:t>Not Applicable - the project does not use an AI/ML model. The implementation uses ServiceNow ACL rules and server-side script logic.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18"/>
              </w:rPr>
              <w:t>Not Applicable - no training or validation dataset is used. Functional access validation is performed instead.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>
            <w:r/>
            <w:r>
              <w:rPr>
                <w:b w:val="0"/>
                <w:sz w:val="18"/>
              </w:rPr>
              <w:t>Not Applicable - no AI model fine-tuning is performed.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