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123456"/>
          <w:sz w:val="38"/>
        </w:rPr>
        <w:t>SOUNDSPHERE: PRODUCTION DEPLOYMENT, MAINTENANCE &amp; PROJECT REFLECTION</w:t>
      </w:r>
    </w:p>
    <w:p>
      <w:pPr>
        <w:spacing w:after="320"/>
      </w:pPr>
      <w:r>
        <w:rPr>
          <w:i/>
          <w:color w:val="646E78"/>
          <w:sz w:val="23"/>
        </w:rPr>
        <w:t>Comprehensive Public Cloud Hosting Guide, Operational Maintenance Strategy, and Capstone Reflective Analysis</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r>
              <w:rPr>
                <w:b/>
                <w:color w:val="123456"/>
                <w:sz w:val="20"/>
              </w:rPr>
              <w:t>Project Title</w:t>
            </w:r>
          </w:p>
        </w:tc>
        <w:tc>
          <w:tcPr>
            <w:tcW w:type="dxa" w:w="6192"/>
            <w:shd w:fill="FFFFFF"/>
            <w:tcMar>
              <w:top w:w="80" w:type="dxa"/>
              <w:bottom w:w="80" w:type="dxa"/>
              <w:left w:w="120" w:type="dxa"/>
              <w:right w:w="120" w:type="dxa"/>
            </w:tcMar>
          </w:tcPr>
          <w:p>
            <w:r>
              <w:rPr>
                <w:color w:val="333333"/>
                <w:sz w:val="20"/>
              </w:rPr>
              <w:t>SoundSphere – Modern Full-Stack Audio Streaming Platform</w:t>
            </w:r>
          </w:p>
        </w:tc>
      </w:tr>
      <w:tr>
        <w:tc>
          <w:tcPr>
            <w:tcW w:type="dxa" w:w="3168"/>
            <w:shd w:fill="F0F4F8"/>
            <w:tcMar>
              <w:top w:w="80" w:type="dxa"/>
              <w:bottom w:w="80" w:type="dxa"/>
              <w:left w:w="120" w:type="dxa"/>
              <w:right w:w="120" w:type="dxa"/>
            </w:tcMar>
          </w:tcPr>
          <w:p>
            <w:r>
              <w:rPr>
                <w:b/>
                <w:color w:val="123456"/>
                <w:sz w:val="20"/>
              </w:rPr>
              <w:t>Milestone Focus</w:t>
            </w:r>
          </w:p>
        </w:tc>
        <w:tc>
          <w:tcPr>
            <w:tcW w:type="dxa" w:w="6192"/>
            <w:shd w:fill="FFFFFF"/>
            <w:tcMar>
              <w:top w:w="80" w:type="dxa"/>
              <w:bottom w:w="80" w:type="dxa"/>
              <w:left w:w="120" w:type="dxa"/>
              <w:right w:w="120" w:type="dxa"/>
            </w:tcMar>
          </w:tcPr>
          <w:p>
            <w:r>
              <w:rPr>
                <w:color w:val="333333"/>
                <w:sz w:val="20"/>
              </w:rPr>
              <w:t>Final Task: Public Deployment, Operational Maintenance &amp; Project Reflection</w:t>
            </w:r>
          </w:p>
        </w:tc>
      </w:tr>
      <w:tr>
        <w:tc>
          <w:tcPr>
            <w:tcW w:type="dxa" w:w="3168"/>
            <w:shd w:fill="F0F4F8"/>
            <w:tcMar>
              <w:top w:w="80" w:type="dxa"/>
              <w:bottom w:w="80" w:type="dxa"/>
              <w:left w:w="120" w:type="dxa"/>
              <w:right w:w="120" w:type="dxa"/>
            </w:tcMar>
          </w:tcPr>
          <w:p>
            <w:r>
              <w:rPr>
                <w:b/>
                <w:color w:val="123456"/>
                <w:sz w:val="20"/>
              </w:rPr>
              <w:t>Developer / Author</w:t>
            </w:r>
          </w:p>
        </w:tc>
        <w:tc>
          <w:tcPr>
            <w:tcW w:type="dxa" w:w="6192"/>
            <w:shd w:fill="FFFFFF"/>
            <w:tcMar>
              <w:top w:w="80" w:type="dxa"/>
              <w:bottom w:w="80" w:type="dxa"/>
              <w:left w:w="120" w:type="dxa"/>
              <w:right w:w="120" w:type="dxa"/>
            </w:tcMar>
          </w:tcPr>
          <w:p>
            <w:r>
              <w:rPr>
                <w:color w:val="333333"/>
                <w:sz w:val="20"/>
              </w:rPr>
              <w:t>Ramidi Aniruth (aniruthreddy1@gmail.com)</w:t>
            </w:r>
          </w:p>
        </w:tc>
      </w:tr>
      <w:tr>
        <w:tc>
          <w:tcPr>
            <w:tcW w:type="dxa" w:w="3168"/>
            <w:shd w:fill="F0F4F8"/>
            <w:tcMar>
              <w:top w:w="80" w:type="dxa"/>
              <w:bottom w:w="80" w:type="dxa"/>
              <w:left w:w="120" w:type="dxa"/>
              <w:right w:w="120" w:type="dxa"/>
            </w:tcMar>
          </w:tcPr>
          <w:p>
            <w:r>
              <w:rPr>
                <w:b/>
                <w:color w:val="123456"/>
                <w:sz w:val="20"/>
              </w:rPr>
              <w:t>Hosting Environments</w:t>
            </w:r>
          </w:p>
        </w:tc>
        <w:tc>
          <w:tcPr>
            <w:tcW w:type="dxa" w:w="6192"/>
            <w:shd w:fill="FFFFFF"/>
            <w:tcMar>
              <w:top w:w="80" w:type="dxa"/>
              <w:bottom w:w="80" w:type="dxa"/>
              <w:left w:w="120" w:type="dxa"/>
              <w:right w:w="120" w:type="dxa"/>
            </w:tcMar>
          </w:tcPr>
          <w:p>
            <w:r>
              <w:rPr>
                <w:color w:val="333333"/>
                <w:sz w:val="20"/>
              </w:rPr>
              <w:t>Render PaaS, AWS EC2 (Ubuntu 24.04 LTS), Docker &amp; Docker Compose</w:t>
            </w:r>
          </w:p>
        </w:tc>
      </w:tr>
      <w:tr>
        <w:tc>
          <w:tcPr>
            <w:tcW w:type="dxa" w:w="3168"/>
            <w:shd w:fill="F0F4F8"/>
            <w:tcMar>
              <w:top w:w="80" w:type="dxa"/>
              <w:bottom w:w="80" w:type="dxa"/>
              <w:left w:w="120" w:type="dxa"/>
              <w:right w:w="120" w:type="dxa"/>
            </w:tcMar>
          </w:tcPr>
          <w:p>
            <w:r>
              <w:rPr>
                <w:b/>
                <w:color w:val="123456"/>
                <w:sz w:val="20"/>
              </w:rPr>
              <w:t>GitHub Repository</w:t>
            </w:r>
          </w:p>
        </w:tc>
        <w:tc>
          <w:tcPr>
            <w:tcW w:type="dxa" w:w="6192"/>
            <w:shd w:fill="FFFFFF"/>
            <w:tcMar>
              <w:top w:w="80" w:type="dxa"/>
              <w:bottom w:w="80" w:type="dxa"/>
              <w:left w:w="120" w:type="dxa"/>
              <w:right w:w="120" w:type="dxa"/>
            </w:tcMar>
          </w:tcPr>
          <w:p>
            <w:r>
              <w:rPr>
                <w:color w:val="333333"/>
                <w:sz w:val="20"/>
              </w:rPr>
              <w:t>https://github.com/aniruthramidi/SoundSphere</w:t>
            </w:r>
          </w:p>
        </w:tc>
      </w:tr>
      <w:tr>
        <w:tc>
          <w:tcPr>
            <w:tcW w:type="dxa" w:w="3168"/>
            <w:shd w:fill="F0F4F8"/>
            <w:tcMar>
              <w:top w:w="80" w:type="dxa"/>
              <w:bottom w:w="80" w:type="dxa"/>
              <w:left w:w="120" w:type="dxa"/>
              <w:right w:w="120" w:type="dxa"/>
            </w:tcMar>
          </w:tcPr>
          <w:p>
            <w:r>
              <w:rPr>
                <w:b/>
                <w:color w:val="123456"/>
                <w:sz w:val="20"/>
              </w:rPr>
              <w:t>Automated Tests</w:t>
            </w:r>
          </w:p>
        </w:tc>
        <w:tc>
          <w:tcPr>
            <w:tcW w:type="dxa" w:w="6192"/>
            <w:shd w:fill="FFFFFF"/>
            <w:tcMar>
              <w:top w:w="80" w:type="dxa"/>
              <w:bottom w:w="80" w:type="dxa"/>
              <w:left w:w="120" w:type="dxa"/>
              <w:right w:w="120" w:type="dxa"/>
            </w:tcMar>
          </w:tcPr>
          <w:p>
            <w:r>
              <w:rPr>
                <w:color w:val="333333"/>
                <w:sz w:val="20"/>
              </w:rPr>
              <w:t>58 Automated Tests (100% Pass Rate across Unit, Integration &amp; UAT Suites)</w:t>
            </w:r>
          </w:p>
        </w:tc>
      </w:tr>
      <w:tr>
        <w:tc>
          <w:tcPr>
            <w:tcW w:type="dxa" w:w="3168"/>
            <w:shd w:fill="F0F4F8"/>
            <w:tcMar>
              <w:top w:w="80" w:type="dxa"/>
              <w:bottom w:w="80" w:type="dxa"/>
              <w:left w:w="120" w:type="dxa"/>
              <w:right w:w="120" w:type="dxa"/>
            </w:tcMar>
          </w:tcPr>
          <w:p>
            <w:r>
              <w:rPr>
                <w:b/>
                <w:color w:val="123456"/>
                <w:sz w:val="20"/>
              </w:rPr>
              <w:t>Deliverable Package</w:t>
            </w:r>
          </w:p>
        </w:tc>
        <w:tc>
          <w:tcPr>
            <w:tcW w:type="dxa" w:w="6192"/>
            <w:shd w:fill="FFFFFF"/>
            <w:tcMar>
              <w:top w:w="80" w:type="dxa"/>
              <w:bottom w:w="80" w:type="dxa"/>
              <w:left w:w="120" w:type="dxa"/>
              <w:right w:w="120" w:type="dxa"/>
            </w:tcMar>
          </w:tcPr>
          <w:p>
            <w:r>
              <w:rPr>
                <w:color w:val="333333"/>
                <w:sz w:val="20"/>
              </w:rPr>
              <w:t>SoundSphere_Deployment_Maintenance_Reflection_Deliverable.zip</w:t>
            </w:r>
          </w:p>
        </w:tc>
      </w:tr>
    </w:tbl>
    <w:p>
      <w:pPr>
        <w:spacing w:after="240"/>
      </w:pPr>
    </w:p>
    <w:p>
      <w:pPr>
        <w:pStyle w:val="Heading1"/>
        <w:spacing w:before="280" w:after="120"/>
      </w:pPr>
      <w:r>
        <w:rPr>
          <w:b/>
          <w:color w:val="123456"/>
          <w:sz w:val="34"/>
        </w:rPr>
        <w:t>PART I: PRODUCTION DEPLOYMENT GUIDE</w:t>
      </w:r>
    </w:p>
    <w:p>
      <w:pPr>
        <w:pStyle w:val="Heading2"/>
        <w:spacing w:before="280" w:after="120"/>
      </w:pPr>
      <w:r>
        <w:rPr>
          <w:b/>
          <w:color w:val="2980B9"/>
          <w:sz w:val="27"/>
        </w:rPr>
        <w:t>1. Executive Deployment Architecture &amp; Strategy</w:t>
      </w:r>
    </w:p>
    <w:p>
      <w:r>
        <w:t>SoundSphere is engineered as an enterprise-capable, cloud-agnostic full-stack web application. The architecture supports both unified single-service deployments (where the Node.js Express server serves both the REST API endpoints and the compiled React 19 single-page application static assets) and decoupled multi-service deployments (where the frontend is deployed to edge CDN networks such as Vercel/Netlify and communicates with an independently hosted backend cluster).</w:t>
      </w:r>
    </w:p>
    <w:p>
      <w:r>
        <w:t>For cost-efficiency, operational simplicity, and atomic version alignment, the unified single-service topology is the primary production deployment mode. In this mode, the Express server handles all /api/v1/* REST requests, exposes interactive Swagger documentation at /api/docs, serves the optimized Vite production build from the dist/ directory, and seamlessly delegates non-API routes back to index.html for client-side routing without 404 page-refresh failures.</w:t>
      </w:r>
    </w:p>
    <w:p>
      <w:pPr>
        <w:pStyle w:val="Heading2"/>
        <w:spacing w:before="280" w:after="120"/>
      </w:pPr>
      <w:r>
        <w:rPr>
          <w:b/>
          <w:color w:val="2980B9"/>
          <w:sz w:val="27"/>
        </w:rPr>
        <w:t>2. Production Environment Configuration &amp; Security Pre-Flight</w:t>
      </w:r>
    </w:p>
    <w:p>
      <w:r>
        <w:t>Preparing the application for production deployment requires strict configuration validation and secrets isolation. All credentials and dynamic parameters are extracted into environment variables conforming to 12-factor application methodology:</w:t>
      </w:r>
    </w:p>
    <w:tbl>
      <w:tblPr>
        <w:tblW w:type="auto" w:w="0"/>
        <w:jc w:val="center"/>
        <w:tblLook w:firstColumn="1" w:firstRow="1" w:lastColumn="0" w:lastRow="0" w:noHBand="0" w:noVBand="1" w:val="04A0"/>
      </w:tblPr>
      <w:tblGrid>
        <w:gridCol w:w="2340"/>
        <w:gridCol w:w="2340"/>
        <w:gridCol w:w="2340"/>
        <w:gridCol w:w="2340"/>
      </w:tblGrid>
      <w:tr>
        <w:tc>
          <w:tcPr>
            <w:tcW w:type="dxa" w:w="2340"/>
            <w:shd w:fill="123456"/>
            <w:tcMar>
              <w:top w:w="80" w:type="dxa"/>
              <w:bottom w:w="80" w:type="dxa"/>
              <w:left w:w="100" w:type="dxa"/>
              <w:right w:w="100" w:type="dxa"/>
            </w:tcMar>
          </w:tcPr>
          <w:p>
            <w:r>
              <w:rPr>
                <w:b/>
                <w:color w:val="FFFFFF"/>
                <w:sz w:val="19"/>
              </w:rPr>
              <w:t>Variable Name</w:t>
            </w:r>
          </w:p>
        </w:tc>
        <w:tc>
          <w:tcPr>
            <w:tcW w:type="dxa" w:w="2340"/>
            <w:shd w:fill="123456"/>
            <w:tcMar>
              <w:top w:w="80" w:type="dxa"/>
              <w:bottom w:w="80" w:type="dxa"/>
              <w:left w:w="100" w:type="dxa"/>
              <w:right w:w="100" w:type="dxa"/>
            </w:tcMar>
          </w:tcPr>
          <w:p>
            <w:r>
              <w:rPr>
                <w:b/>
                <w:color w:val="FFFFFF"/>
                <w:sz w:val="19"/>
              </w:rPr>
              <w:t>Required</w:t>
            </w:r>
          </w:p>
        </w:tc>
        <w:tc>
          <w:tcPr>
            <w:tcW w:type="dxa" w:w="2340"/>
            <w:shd w:fill="123456"/>
            <w:tcMar>
              <w:top w:w="80" w:type="dxa"/>
              <w:bottom w:w="80" w:type="dxa"/>
              <w:left w:w="100" w:type="dxa"/>
              <w:right w:w="100" w:type="dxa"/>
            </w:tcMar>
          </w:tcPr>
          <w:p>
            <w:r>
              <w:rPr>
                <w:b/>
                <w:color w:val="FFFFFF"/>
                <w:sz w:val="19"/>
              </w:rPr>
              <w:t>Default / Recommended</w:t>
            </w:r>
          </w:p>
        </w:tc>
        <w:tc>
          <w:tcPr>
            <w:tcW w:type="dxa" w:w="2340"/>
            <w:shd w:fill="123456"/>
            <w:tcMar>
              <w:top w:w="80" w:type="dxa"/>
              <w:bottom w:w="80" w:type="dxa"/>
              <w:left w:w="100" w:type="dxa"/>
              <w:right w:w="100" w:type="dxa"/>
            </w:tcMar>
          </w:tcPr>
          <w:p>
            <w:r>
              <w:rPr>
                <w:b/>
                <w:color w:val="FFFFFF"/>
                <w:sz w:val="19"/>
              </w:rPr>
              <w:t>Production Purpose &amp; Security Implications</w:t>
            </w:r>
          </w:p>
        </w:tc>
      </w:tr>
      <w:tr>
        <w:tc>
          <w:tcPr>
            <w:tcW w:type="dxa" w:w="2340"/>
            <w:shd w:fill="F9FAFC"/>
            <w:tcMar>
              <w:top w:w="60" w:type="dxa"/>
              <w:bottom w:w="60" w:type="dxa"/>
              <w:left w:w="80" w:type="dxa"/>
              <w:right w:w="80" w:type="dxa"/>
            </w:tcMar>
          </w:tcPr>
          <w:p>
            <w:r>
              <w:rPr>
                <w:b/>
                <w:color w:val="123456"/>
                <w:sz w:val="17"/>
              </w:rPr>
              <w:t>NODE_ENV</w:t>
            </w:r>
          </w:p>
        </w:tc>
        <w:tc>
          <w:tcPr>
            <w:tcW w:type="dxa" w:w="2340"/>
            <w:shd w:fill="FFFFFF"/>
            <w:tcMar>
              <w:top w:w="60" w:type="dxa"/>
              <w:bottom w:w="60" w:type="dxa"/>
              <w:left w:w="80" w:type="dxa"/>
              <w:right w:w="80" w:type="dxa"/>
            </w:tcMar>
          </w:tcPr>
          <w:p>
            <w:r>
              <w:rPr>
                <w:sz w:val="17"/>
              </w:rPr>
              <w:t>Yes</w:t>
            </w:r>
          </w:p>
        </w:tc>
        <w:tc>
          <w:tcPr>
            <w:tcW w:type="dxa" w:w="2340"/>
            <w:shd w:fill="FFFFFF"/>
            <w:tcMar>
              <w:top w:w="60" w:type="dxa"/>
              <w:bottom w:w="60" w:type="dxa"/>
              <w:left w:w="80" w:type="dxa"/>
              <w:right w:w="80" w:type="dxa"/>
            </w:tcMar>
          </w:tcPr>
          <w:p>
            <w:r>
              <w:rPr>
                <w:sz w:val="17"/>
              </w:rPr>
              <w:t>production</w:t>
            </w:r>
          </w:p>
        </w:tc>
        <w:tc>
          <w:tcPr>
            <w:tcW w:type="dxa" w:w="2340"/>
            <w:shd w:fill="FFFFFF"/>
            <w:tcMar>
              <w:top w:w="60" w:type="dxa"/>
              <w:bottom w:w="60" w:type="dxa"/>
              <w:left w:w="80" w:type="dxa"/>
              <w:right w:w="80" w:type="dxa"/>
            </w:tcMar>
          </w:tcPr>
          <w:p>
            <w:r>
              <w:rPr>
                <w:sz w:val="17"/>
              </w:rPr>
              <w:t>Activates production optimizations: disables stack traces, enables combined logging, static asset ETag caching, and rate limiting.</w:t>
            </w:r>
          </w:p>
        </w:tc>
      </w:tr>
      <w:tr>
        <w:tc>
          <w:tcPr>
            <w:tcW w:type="dxa" w:w="2340"/>
            <w:shd w:fill="F9FAFC"/>
            <w:tcMar>
              <w:top w:w="60" w:type="dxa"/>
              <w:bottom w:w="60" w:type="dxa"/>
              <w:left w:w="80" w:type="dxa"/>
              <w:right w:w="80" w:type="dxa"/>
            </w:tcMar>
          </w:tcPr>
          <w:p>
            <w:r>
              <w:rPr>
                <w:b/>
                <w:color w:val="123456"/>
                <w:sz w:val="17"/>
              </w:rPr>
              <w:t>PORT</w:t>
            </w:r>
          </w:p>
        </w:tc>
        <w:tc>
          <w:tcPr>
            <w:tcW w:type="dxa" w:w="2340"/>
            <w:shd w:fill="FFFFFF"/>
            <w:tcMar>
              <w:top w:w="60" w:type="dxa"/>
              <w:bottom w:w="60" w:type="dxa"/>
              <w:left w:w="80" w:type="dxa"/>
              <w:right w:w="80" w:type="dxa"/>
            </w:tcMar>
          </w:tcPr>
          <w:p>
            <w:r>
              <w:rPr>
                <w:sz w:val="17"/>
              </w:rPr>
              <w:t>Yes</w:t>
            </w:r>
          </w:p>
        </w:tc>
        <w:tc>
          <w:tcPr>
            <w:tcW w:type="dxa" w:w="2340"/>
            <w:shd w:fill="FFFFFF"/>
            <w:tcMar>
              <w:top w:w="60" w:type="dxa"/>
              <w:bottom w:w="60" w:type="dxa"/>
              <w:left w:w="80" w:type="dxa"/>
              <w:right w:w="80" w:type="dxa"/>
            </w:tcMar>
          </w:tcPr>
          <w:p>
            <w:r>
              <w:rPr>
                <w:sz w:val="17"/>
              </w:rPr>
              <w:t>5001 / Cloud assigned</w:t>
            </w:r>
          </w:p>
        </w:tc>
        <w:tc>
          <w:tcPr>
            <w:tcW w:type="dxa" w:w="2340"/>
            <w:shd w:fill="FFFFFF"/>
            <w:tcMar>
              <w:top w:w="60" w:type="dxa"/>
              <w:bottom w:w="60" w:type="dxa"/>
              <w:left w:w="80" w:type="dxa"/>
              <w:right w:w="80" w:type="dxa"/>
            </w:tcMar>
          </w:tcPr>
          <w:p>
            <w:r>
              <w:rPr>
                <w:sz w:val="17"/>
              </w:rPr>
              <w:t>Governs the HTTP listen port (standardized to 5001 internally, mapped to 80/443 via reverse proxy).</w:t>
            </w:r>
          </w:p>
        </w:tc>
      </w:tr>
      <w:tr>
        <w:tc>
          <w:tcPr>
            <w:tcW w:type="dxa" w:w="2340"/>
            <w:shd w:fill="F9FAFC"/>
            <w:tcMar>
              <w:top w:w="60" w:type="dxa"/>
              <w:bottom w:w="60" w:type="dxa"/>
              <w:left w:w="80" w:type="dxa"/>
              <w:right w:w="80" w:type="dxa"/>
            </w:tcMar>
          </w:tcPr>
          <w:p>
            <w:r>
              <w:rPr>
                <w:b/>
                <w:color w:val="123456"/>
                <w:sz w:val="17"/>
              </w:rPr>
              <w:t>JWT_SECRET</w:t>
            </w:r>
          </w:p>
        </w:tc>
        <w:tc>
          <w:tcPr>
            <w:tcW w:type="dxa" w:w="2340"/>
            <w:shd w:fill="FFFFFF"/>
            <w:tcMar>
              <w:top w:w="60" w:type="dxa"/>
              <w:bottom w:w="60" w:type="dxa"/>
              <w:left w:w="80" w:type="dxa"/>
              <w:right w:w="80" w:type="dxa"/>
            </w:tcMar>
          </w:tcPr>
          <w:p>
            <w:r>
              <w:rPr>
                <w:b/>
                <w:color w:val="C0392B"/>
                <w:sz w:val="17"/>
              </w:rPr>
              <w:t>CRITICAL</w:t>
            </w:r>
          </w:p>
        </w:tc>
        <w:tc>
          <w:tcPr>
            <w:tcW w:type="dxa" w:w="2340"/>
            <w:shd w:fill="FFFFFF"/>
            <w:tcMar>
              <w:top w:w="60" w:type="dxa"/>
              <w:bottom w:w="60" w:type="dxa"/>
              <w:left w:w="80" w:type="dxa"/>
              <w:right w:w="80" w:type="dxa"/>
            </w:tcMar>
          </w:tcPr>
          <w:p>
            <w:r>
              <w:rPr>
                <w:sz w:val="17"/>
              </w:rPr>
              <w:t>64-char hex string</w:t>
            </w:r>
          </w:p>
        </w:tc>
        <w:tc>
          <w:tcPr>
            <w:tcW w:type="dxa" w:w="2340"/>
            <w:shd w:fill="FFFFFF"/>
            <w:tcMar>
              <w:top w:w="60" w:type="dxa"/>
              <w:bottom w:w="60" w:type="dxa"/>
              <w:left w:w="80" w:type="dxa"/>
              <w:right w:w="80" w:type="dxa"/>
            </w:tcMar>
          </w:tcPr>
          <w:p>
            <w:r>
              <w:rPr>
                <w:sz w:val="17"/>
              </w:rPr>
              <w:t>Cryptographic key for signing session tokens. Must be generated using openssl rand -hex 32. Never committed to Git.</w:t>
            </w:r>
          </w:p>
        </w:tc>
      </w:tr>
      <w:tr>
        <w:tc>
          <w:tcPr>
            <w:tcW w:type="dxa" w:w="2340"/>
            <w:shd w:fill="F9FAFC"/>
            <w:tcMar>
              <w:top w:w="60" w:type="dxa"/>
              <w:bottom w:w="60" w:type="dxa"/>
              <w:left w:w="80" w:type="dxa"/>
              <w:right w:w="80" w:type="dxa"/>
            </w:tcMar>
          </w:tcPr>
          <w:p>
            <w:r>
              <w:rPr>
                <w:b/>
                <w:color w:val="123456"/>
                <w:sz w:val="17"/>
              </w:rPr>
              <w:t>JWT_EXPIRES_IN</w:t>
            </w:r>
          </w:p>
        </w:tc>
        <w:tc>
          <w:tcPr>
            <w:tcW w:type="dxa" w:w="2340"/>
            <w:shd w:fill="FFFFFF"/>
            <w:tcMar>
              <w:top w:w="60" w:type="dxa"/>
              <w:bottom w:w="60" w:type="dxa"/>
              <w:left w:w="80" w:type="dxa"/>
              <w:right w:w="80" w:type="dxa"/>
            </w:tcMar>
          </w:tcPr>
          <w:p>
            <w:r>
              <w:rPr>
                <w:sz w:val="17"/>
              </w:rPr>
              <w:t>Yes</w:t>
            </w:r>
          </w:p>
        </w:tc>
        <w:tc>
          <w:tcPr>
            <w:tcW w:type="dxa" w:w="2340"/>
            <w:shd w:fill="FFFFFF"/>
            <w:tcMar>
              <w:top w:w="60" w:type="dxa"/>
              <w:bottom w:w="60" w:type="dxa"/>
              <w:left w:w="80" w:type="dxa"/>
              <w:right w:w="80" w:type="dxa"/>
            </w:tcMar>
          </w:tcPr>
          <w:p>
            <w:r>
              <w:rPr>
                <w:sz w:val="17"/>
              </w:rPr>
              <w:t>7d</w:t>
            </w:r>
          </w:p>
        </w:tc>
        <w:tc>
          <w:tcPr>
            <w:tcW w:type="dxa" w:w="2340"/>
            <w:shd w:fill="FFFFFF"/>
            <w:tcMar>
              <w:top w:w="60" w:type="dxa"/>
              <w:bottom w:w="60" w:type="dxa"/>
              <w:left w:w="80" w:type="dxa"/>
              <w:right w:w="80" w:type="dxa"/>
            </w:tcMar>
          </w:tcPr>
          <w:p>
            <w:r>
              <w:rPr>
                <w:sz w:val="17"/>
              </w:rPr>
              <w:t>Session validity window. Automatically enforced by token verification middleware.</w:t>
            </w:r>
          </w:p>
        </w:tc>
      </w:tr>
      <w:tr>
        <w:tc>
          <w:tcPr>
            <w:tcW w:type="dxa" w:w="2340"/>
            <w:shd w:fill="F9FAFC"/>
            <w:tcMar>
              <w:top w:w="60" w:type="dxa"/>
              <w:bottom w:w="60" w:type="dxa"/>
              <w:left w:w="80" w:type="dxa"/>
              <w:right w:w="80" w:type="dxa"/>
            </w:tcMar>
          </w:tcPr>
          <w:p>
            <w:r>
              <w:rPr>
                <w:b/>
                <w:color w:val="123456"/>
                <w:sz w:val="17"/>
              </w:rPr>
              <w:t>DB_PATH</w:t>
            </w:r>
          </w:p>
        </w:tc>
        <w:tc>
          <w:tcPr>
            <w:tcW w:type="dxa" w:w="2340"/>
            <w:shd w:fill="FFFFFF"/>
            <w:tcMar>
              <w:top w:w="60" w:type="dxa"/>
              <w:bottom w:w="60" w:type="dxa"/>
              <w:left w:w="80" w:type="dxa"/>
              <w:right w:w="80" w:type="dxa"/>
            </w:tcMar>
          </w:tcPr>
          <w:p>
            <w:r>
              <w:rPr>
                <w:sz w:val="17"/>
              </w:rPr>
              <w:t>Yes</w:t>
            </w:r>
          </w:p>
        </w:tc>
        <w:tc>
          <w:tcPr>
            <w:tcW w:type="dxa" w:w="2340"/>
            <w:shd w:fill="FFFFFF"/>
            <w:tcMar>
              <w:top w:w="60" w:type="dxa"/>
              <w:bottom w:w="60" w:type="dxa"/>
              <w:left w:w="80" w:type="dxa"/>
              <w:right w:w="80" w:type="dxa"/>
            </w:tcMar>
          </w:tcPr>
          <w:p>
            <w:r>
              <w:rPr>
                <w:sz w:val="17"/>
              </w:rPr>
              <w:t>/var/data/soundsphere.db</w:t>
            </w:r>
          </w:p>
        </w:tc>
        <w:tc>
          <w:tcPr>
            <w:tcW w:type="dxa" w:w="2340"/>
            <w:shd w:fill="FFFFFF"/>
            <w:tcMar>
              <w:top w:w="60" w:type="dxa"/>
              <w:bottom w:w="60" w:type="dxa"/>
              <w:left w:w="80" w:type="dxa"/>
              <w:right w:w="80" w:type="dxa"/>
            </w:tcMar>
          </w:tcPr>
          <w:p>
            <w:r>
              <w:rPr>
                <w:sz w:val="17"/>
              </w:rPr>
              <w:t>Absolute path on persistent SSD disk. In cloud containers, prevents data loss on dyno restarts.</w:t>
            </w:r>
          </w:p>
        </w:tc>
      </w:tr>
      <w:tr>
        <w:tc>
          <w:tcPr>
            <w:tcW w:type="dxa" w:w="2340"/>
            <w:shd w:fill="F9FAFC"/>
            <w:tcMar>
              <w:top w:w="60" w:type="dxa"/>
              <w:bottom w:w="60" w:type="dxa"/>
              <w:left w:w="80" w:type="dxa"/>
              <w:right w:w="80" w:type="dxa"/>
            </w:tcMar>
          </w:tcPr>
          <w:p>
            <w:r>
              <w:rPr>
                <w:b/>
                <w:color w:val="123456"/>
                <w:sz w:val="17"/>
              </w:rPr>
              <w:t>CORS_ORIGIN</w:t>
            </w:r>
          </w:p>
        </w:tc>
        <w:tc>
          <w:tcPr>
            <w:tcW w:type="dxa" w:w="2340"/>
            <w:shd w:fill="FFFFFF"/>
            <w:tcMar>
              <w:top w:w="60" w:type="dxa"/>
              <w:bottom w:w="60" w:type="dxa"/>
              <w:left w:w="80" w:type="dxa"/>
              <w:right w:w="80" w:type="dxa"/>
            </w:tcMar>
          </w:tcPr>
          <w:p>
            <w:r>
              <w:rPr>
                <w:sz w:val="17"/>
              </w:rPr>
              <w:t>Yes</w:t>
            </w:r>
          </w:p>
        </w:tc>
        <w:tc>
          <w:tcPr>
            <w:tcW w:type="dxa" w:w="2340"/>
            <w:shd w:fill="FFFFFF"/>
            <w:tcMar>
              <w:top w:w="60" w:type="dxa"/>
              <w:bottom w:w="60" w:type="dxa"/>
              <w:left w:w="80" w:type="dxa"/>
              <w:right w:w="80" w:type="dxa"/>
            </w:tcMar>
          </w:tcPr>
          <w:p>
            <w:r>
              <w:rPr>
                <w:sz w:val="17"/>
              </w:rPr>
              <w:t>https://soundsphere.app</w:t>
            </w:r>
          </w:p>
        </w:tc>
        <w:tc>
          <w:tcPr>
            <w:tcW w:type="dxa" w:w="2340"/>
            <w:shd w:fill="FFFFFF"/>
            <w:tcMar>
              <w:top w:w="60" w:type="dxa"/>
              <w:bottom w:w="60" w:type="dxa"/>
              <w:left w:w="80" w:type="dxa"/>
              <w:right w:w="80" w:type="dxa"/>
            </w:tcMar>
          </w:tcPr>
          <w:p>
            <w:r>
              <w:rPr>
                <w:sz w:val="17"/>
              </w:rPr>
              <w:t>Restricts cross-origin requests to trusted production web client domains to prevent API abuse.</w:t>
            </w:r>
          </w:p>
        </w:tc>
      </w:tr>
    </w:tbl>
    <w:p>
      <w:pPr>
        <w:spacing w:after="160"/>
      </w:pPr>
    </w:p>
    <w:p>
      <w:pPr>
        <w:pStyle w:val="Heading2"/>
        <w:spacing w:before="280" w:after="120"/>
      </w:pPr>
      <w:r>
        <w:rPr>
          <w:b/>
          <w:color w:val="2980B9"/>
          <w:sz w:val="27"/>
        </w:rPr>
        <w:t>3. Public Platform Deployment Procedures</w:t>
      </w:r>
    </w:p>
    <w:p>
      <w:pPr>
        <w:pStyle w:val="Heading3"/>
        <w:spacing w:before="280" w:after="120"/>
      </w:pPr>
      <w:r>
        <w:rPr>
          <w:b/>
          <w:color w:val="2C3E50"/>
          <w:sz w:val="22"/>
        </w:rPr>
        <w:t>3.1 Option A: Render.com Cloud Platform (Recommended PaaS)</w:t>
      </w:r>
    </w:p>
    <w:p>
      <w:r>
        <w:t>Render provides an automated public deployment pipeline directly integrated with GitHub, including free automated TLS/SSL certificates, health-check monitoring, and persistent disk mounting for SQLite.</w:t>
      </w:r>
    </w:p>
    <w:p>
      <w:pPr>
        <w:pStyle w:val="ListBullet"/>
      </w:pPr>
      <w:r>
        <w:rPr>
          <w:b/>
          <w:color w:val="123456"/>
        </w:rPr>
        <w:t xml:space="preserve">Step 1: Repository Blueprint Integration: </w:t>
      </w:r>
      <w:r>
        <w:t>Push code including the provided render.yaml manifest to GitHub. The manifest configures service build commands, environment variables, health check paths, and disk mounts.</w:t>
      </w:r>
    </w:p>
    <w:p>
      <w:pPr>
        <w:pStyle w:val="ListBullet"/>
      </w:pPr>
      <w:r>
        <w:rPr>
          <w:b/>
          <w:color w:val="123456"/>
        </w:rPr>
        <w:t xml:space="preserve">Step 2: Connect Web Service: </w:t>
      </w:r>
      <w:r>
        <w:t>In the Render dashboard, create a new Blueprint deployment pointing to https://github.com/aniruthramidi/SoundSphere. Render automatically provisions a 1 GB SSD attached to /var/data.</w:t>
      </w:r>
    </w:p>
    <w:p>
      <w:pPr>
        <w:pStyle w:val="ListBullet"/>
      </w:pPr>
      <w:r>
        <w:rPr>
          <w:b/>
          <w:color w:val="123456"/>
        </w:rPr>
        <w:t xml:space="preserve">Step 3: Automated Build &amp; Start: </w:t>
      </w:r>
      <w:r>
        <w:t>Render executes 'npm install &amp;&amp; npm run build &amp;&amp; cd server &amp;&amp; npm install --production', compiles the React frontend into dist/, and launches the production Express server.</w:t>
      </w:r>
    </w:p>
    <w:p>
      <w:pPr>
        <w:pStyle w:val="ListBullet"/>
      </w:pPr>
      <w:r>
        <w:rPr>
          <w:b/>
          <w:color w:val="123456"/>
        </w:rPr>
        <w:t xml:space="preserve">Step 4: Automatic Seeding Verification: </w:t>
      </w:r>
      <w:r>
        <w:t>Upon initial boot, the server checks the user count. Detecting 0 users, it automatically runs seed() to populate demo users, 15 audio tracks, and curated playlists.</w:t>
      </w:r>
    </w:p>
    <w:p>
      <w:pPr>
        <w:pStyle w:val="Heading3"/>
        <w:spacing w:before="280" w:after="120"/>
      </w:pPr>
      <w:r>
        <w:rPr>
          <w:b/>
          <w:color w:val="2C3E50"/>
          <w:sz w:val="22"/>
        </w:rPr>
        <w:t>3.2 Option B: AWS EC2 / Linux VPS with Nginx &amp; PM2</w:t>
      </w:r>
    </w:p>
    <w:p>
      <w:r>
        <w:t>For custom virtual server hosting on AWS EC2 (Ubuntu 24.04 LTS), the deployment follows industry-standard reverse proxy and process management patterns:</w:t>
      </w:r>
    </w:p>
    <w:p>
      <w:pPr>
        <w:pStyle w:val="ListBullet"/>
      </w:pPr>
      <w:r>
        <w:rPr>
          <w:b/>
          <w:color w:val="123456"/>
        </w:rPr>
        <w:t xml:space="preserve">System Provisioning: </w:t>
      </w:r>
      <w:r>
        <w:t>Install Node.js 22 LTS, Nginx, PM2, and Certbot. Clone repository to /var/www/SoundSphere.</w:t>
      </w:r>
    </w:p>
    <w:p>
      <w:pPr>
        <w:pStyle w:val="ListBullet"/>
      </w:pPr>
      <w:r>
        <w:rPr>
          <w:b/>
          <w:color w:val="123456"/>
        </w:rPr>
        <w:t xml:space="preserve">Production Build: </w:t>
      </w:r>
      <w:r>
        <w:t>Execute 'npm install &amp;&amp; npm run build' for the frontend, and 'cd server &amp;&amp; npm install --production' for the backend.</w:t>
      </w:r>
    </w:p>
    <w:p>
      <w:pPr>
        <w:pStyle w:val="ListBullet"/>
      </w:pPr>
      <w:r>
        <w:rPr>
          <w:b/>
          <w:color w:val="123456"/>
        </w:rPr>
        <w:t xml:space="preserve">PM2 Process Management: </w:t>
      </w:r>
      <w:r>
        <w:t>Launch the backend using the provided ecosystem.config.cjs manifest. PM2 supervises the process with automatic restarts, memory limits (500MB), and systemd boot hooks.</w:t>
      </w:r>
    </w:p>
    <w:p>
      <w:pPr>
        <w:pStyle w:val="ListBullet"/>
      </w:pPr>
      <w:r>
        <w:rPr>
          <w:b/>
          <w:color w:val="123456"/>
        </w:rPr>
        <w:t xml:space="preserve">Nginx Reverse Proxy &amp; SSL: </w:t>
      </w:r>
      <w:r>
        <w:t>Deploy the provided nginx.conf. Nginx terminates SSL via Let's Encrypt (Certbot), enforces HTTP/2, enables Gzip compression, and forwards client requests to 127.0.0.1:5001.</w:t>
      </w:r>
    </w:p>
    <w:p>
      <w:pPr>
        <w:pStyle w:val="Heading3"/>
        <w:spacing w:before="280" w:after="120"/>
      </w:pPr>
      <w:r>
        <w:rPr>
          <w:b/>
          <w:color w:val="2C3E50"/>
          <w:sz w:val="22"/>
        </w:rPr>
        <w:t>3.3 Option C: Multi-Stage Docker Containerization</w:t>
      </w:r>
    </w:p>
    <w:p>
      <w:r>
        <w:t>SoundSphere includes a production-grade multi-stage Dockerfile and docker-compose.yml. Stage 1 builds the Vite frontend inside node:22-bookworm-slim. Stage 2 provisions a minimal runner image running as the non-root user 'node', copying only built static files and production dependencies, and mounting soundsphere_data to persist the SQLite database.</w:t>
      </w:r>
    </w:p>
    <w:p>
      <w:pPr>
        <w:pStyle w:val="Heading2"/>
        <w:spacing w:before="280" w:after="120"/>
      </w:pPr>
      <w:r>
        <w:rPr>
          <w:b/>
          <w:color w:val="2980B9"/>
          <w:sz w:val="27"/>
        </w:rPr>
        <w:t>4. User Acceptance Testing (UAT) &amp; Verification Protocols</w:t>
      </w:r>
    </w:p>
    <w:p>
      <w:r>
        <w:t>Following deployment to a public server, functionality is rigorously validated using the automated User Acceptance Test (UAT) suite. All 8 core end-to-end user scenarios pass unconditionally:</w:t>
      </w:r>
    </w:p>
    <w:tbl>
      <w:tblPr>
        <w:tblW w:type="auto" w:w="0"/>
        <w:jc w:val="center"/>
        <w:tblLook w:firstColumn="1" w:firstRow="1" w:lastColumn="0" w:lastRow="0" w:noHBand="0" w:noVBand="1" w:val="04A0"/>
      </w:tblPr>
      <w:tblGrid>
        <w:gridCol w:w="2340"/>
        <w:gridCol w:w="2340"/>
        <w:gridCol w:w="2340"/>
        <w:gridCol w:w="2340"/>
      </w:tblGrid>
      <w:tr>
        <w:tc>
          <w:tcPr>
            <w:tcW w:type="dxa" w:w="2340"/>
            <w:shd w:fill="123456"/>
            <w:tcMar>
              <w:top w:w="80" w:type="dxa"/>
              <w:bottom w:w="80" w:type="dxa"/>
              <w:left w:w="100" w:type="dxa"/>
              <w:right w:w="100" w:type="dxa"/>
            </w:tcMar>
          </w:tcPr>
          <w:p>
            <w:r>
              <w:rPr>
                <w:b/>
                <w:color w:val="FFFFFF"/>
                <w:sz w:val="19"/>
              </w:rPr>
              <w:t>Test ID</w:t>
            </w:r>
          </w:p>
        </w:tc>
        <w:tc>
          <w:tcPr>
            <w:tcW w:type="dxa" w:w="2340"/>
            <w:shd w:fill="123456"/>
            <w:tcMar>
              <w:top w:w="80" w:type="dxa"/>
              <w:bottom w:w="80" w:type="dxa"/>
              <w:left w:w="100" w:type="dxa"/>
              <w:right w:w="100" w:type="dxa"/>
            </w:tcMar>
          </w:tcPr>
          <w:p>
            <w:r>
              <w:rPr>
                <w:b/>
                <w:color w:val="FFFFFF"/>
                <w:sz w:val="19"/>
              </w:rPr>
              <w:t>Scenario / Feature</w:t>
            </w:r>
          </w:p>
        </w:tc>
        <w:tc>
          <w:tcPr>
            <w:tcW w:type="dxa" w:w="2340"/>
            <w:shd w:fill="123456"/>
            <w:tcMar>
              <w:top w:w="80" w:type="dxa"/>
              <w:bottom w:w="80" w:type="dxa"/>
              <w:left w:w="100" w:type="dxa"/>
              <w:right w:w="100" w:type="dxa"/>
            </w:tcMar>
          </w:tcPr>
          <w:p>
            <w:r>
              <w:rPr>
                <w:b/>
                <w:color w:val="FFFFFF"/>
                <w:sz w:val="19"/>
              </w:rPr>
              <w:t>Verification Procedure &amp; Target Endpoint</w:t>
            </w:r>
          </w:p>
        </w:tc>
        <w:tc>
          <w:tcPr>
            <w:tcW w:type="dxa" w:w="2340"/>
            <w:shd w:fill="123456"/>
            <w:tcMar>
              <w:top w:w="80" w:type="dxa"/>
              <w:bottom w:w="80" w:type="dxa"/>
              <w:left w:w="100" w:type="dxa"/>
              <w:right w:w="100" w:type="dxa"/>
            </w:tcMar>
          </w:tcPr>
          <w:p>
            <w:r>
              <w:rPr>
                <w:b/>
                <w:color w:val="FFFFFF"/>
                <w:sz w:val="19"/>
              </w:rPr>
              <w:t>Result</w:t>
            </w:r>
          </w:p>
        </w:tc>
      </w:tr>
      <w:tr>
        <w:tc>
          <w:tcPr>
            <w:tcW w:type="dxa" w:w="2340"/>
            <w:shd w:fill="F9FAFC"/>
            <w:tcMar>
              <w:top w:w="60" w:type="dxa"/>
              <w:bottom w:w="60" w:type="dxa"/>
              <w:left w:w="80" w:type="dxa"/>
              <w:right w:w="80" w:type="dxa"/>
            </w:tcMar>
          </w:tcPr>
          <w:p>
            <w:r>
              <w:rPr>
                <w:b/>
                <w:color w:val="123456"/>
                <w:sz w:val="18"/>
              </w:rPr>
              <w:t>UAT-1</w:t>
            </w:r>
          </w:p>
        </w:tc>
        <w:tc>
          <w:tcPr>
            <w:tcW w:type="dxa" w:w="2340"/>
            <w:shd w:fill="FFFFFF"/>
            <w:tcMar>
              <w:top w:w="60" w:type="dxa"/>
              <w:bottom w:w="60" w:type="dxa"/>
              <w:left w:w="80" w:type="dxa"/>
              <w:right w:w="80" w:type="dxa"/>
            </w:tcMar>
          </w:tcPr>
          <w:p>
            <w:r>
              <w:rPr>
                <w:sz w:val="18"/>
              </w:rPr>
              <w:t>Security Headers</w:t>
            </w:r>
          </w:p>
        </w:tc>
        <w:tc>
          <w:tcPr>
            <w:tcW w:type="dxa" w:w="2340"/>
            <w:shd w:fill="FFFFFF"/>
            <w:tcMar>
              <w:top w:w="60" w:type="dxa"/>
              <w:bottom w:w="60" w:type="dxa"/>
              <w:left w:w="80" w:type="dxa"/>
              <w:right w:w="80" w:type="dxa"/>
            </w:tcMar>
          </w:tcPr>
          <w:p>
            <w:r>
              <w:rPr>
                <w:sz w:val="18"/>
              </w:rPr>
              <w:t>GET /api/v1/health - Verifies Helmet nosniff header and masks X-Powered-By</w:t>
            </w:r>
          </w:p>
        </w:tc>
        <w:tc>
          <w:tcPr>
            <w:tcW w:type="dxa" w:w="2340"/>
            <w:shd w:fill="FFFFFF"/>
            <w:tcMar>
              <w:top w:w="60" w:type="dxa"/>
              <w:bottom w:w="60" w:type="dxa"/>
              <w:left w:w="80" w:type="dxa"/>
              <w:right w:w="80" w:type="dxa"/>
            </w:tcMar>
          </w:tcPr>
          <w:p>
            <w:r>
              <w:rPr>
                <w:b/>
                <w:color w:val="27AE60"/>
                <w:sz w:val="18"/>
              </w:rPr>
              <w:t>PASS</w:t>
            </w:r>
          </w:p>
        </w:tc>
      </w:tr>
      <w:tr>
        <w:tc>
          <w:tcPr>
            <w:tcW w:type="dxa" w:w="2340"/>
            <w:shd w:fill="F9FAFC"/>
            <w:tcMar>
              <w:top w:w="60" w:type="dxa"/>
              <w:bottom w:w="60" w:type="dxa"/>
              <w:left w:w="80" w:type="dxa"/>
              <w:right w:w="80" w:type="dxa"/>
            </w:tcMar>
          </w:tcPr>
          <w:p>
            <w:r>
              <w:rPr>
                <w:b/>
                <w:color w:val="123456"/>
                <w:sz w:val="18"/>
              </w:rPr>
              <w:t>UAT-2</w:t>
            </w:r>
          </w:p>
        </w:tc>
        <w:tc>
          <w:tcPr>
            <w:tcW w:type="dxa" w:w="2340"/>
            <w:shd w:fill="FFFFFF"/>
            <w:tcMar>
              <w:top w:w="60" w:type="dxa"/>
              <w:bottom w:w="60" w:type="dxa"/>
              <w:left w:w="80" w:type="dxa"/>
              <w:right w:w="80" w:type="dxa"/>
            </w:tcMar>
          </w:tcPr>
          <w:p>
            <w:r>
              <w:rPr>
                <w:sz w:val="18"/>
              </w:rPr>
              <w:t>Health Probe</w:t>
            </w:r>
          </w:p>
        </w:tc>
        <w:tc>
          <w:tcPr>
            <w:tcW w:type="dxa" w:w="2340"/>
            <w:shd w:fill="FFFFFF"/>
            <w:tcMar>
              <w:top w:w="60" w:type="dxa"/>
              <w:bottom w:w="60" w:type="dxa"/>
              <w:left w:w="80" w:type="dxa"/>
              <w:right w:w="80" w:type="dxa"/>
            </w:tcMar>
          </w:tcPr>
          <w:p>
            <w:r>
              <w:rPr>
                <w:sz w:val="18"/>
              </w:rPr>
              <w:t>GET /api/v1/health - Verifies operational status UP, database healthy, uptime, memory</w:t>
            </w:r>
          </w:p>
        </w:tc>
        <w:tc>
          <w:tcPr>
            <w:tcW w:type="dxa" w:w="2340"/>
            <w:shd w:fill="FFFFFF"/>
            <w:tcMar>
              <w:top w:w="60" w:type="dxa"/>
              <w:bottom w:w="60" w:type="dxa"/>
              <w:left w:w="80" w:type="dxa"/>
              <w:right w:w="80" w:type="dxa"/>
            </w:tcMar>
          </w:tcPr>
          <w:p>
            <w:r>
              <w:rPr>
                <w:b/>
                <w:color w:val="27AE60"/>
                <w:sz w:val="18"/>
              </w:rPr>
              <w:t>PASS</w:t>
            </w:r>
          </w:p>
        </w:tc>
      </w:tr>
      <w:tr>
        <w:tc>
          <w:tcPr>
            <w:tcW w:type="dxa" w:w="2340"/>
            <w:shd w:fill="F9FAFC"/>
            <w:tcMar>
              <w:top w:w="60" w:type="dxa"/>
              <w:bottom w:w="60" w:type="dxa"/>
              <w:left w:w="80" w:type="dxa"/>
              <w:right w:w="80" w:type="dxa"/>
            </w:tcMar>
          </w:tcPr>
          <w:p>
            <w:r>
              <w:rPr>
                <w:b/>
                <w:color w:val="123456"/>
                <w:sz w:val="18"/>
              </w:rPr>
              <w:t>UAT-3</w:t>
            </w:r>
          </w:p>
        </w:tc>
        <w:tc>
          <w:tcPr>
            <w:tcW w:type="dxa" w:w="2340"/>
            <w:shd w:fill="FFFFFF"/>
            <w:tcMar>
              <w:top w:w="60" w:type="dxa"/>
              <w:bottom w:w="60" w:type="dxa"/>
              <w:left w:w="80" w:type="dxa"/>
              <w:right w:w="80" w:type="dxa"/>
            </w:tcMar>
          </w:tcPr>
          <w:p>
            <w:r>
              <w:rPr>
                <w:sz w:val="18"/>
              </w:rPr>
              <w:t>Swagger Docs</w:t>
            </w:r>
          </w:p>
        </w:tc>
        <w:tc>
          <w:tcPr>
            <w:tcW w:type="dxa" w:w="2340"/>
            <w:shd w:fill="FFFFFF"/>
            <w:tcMar>
              <w:top w:w="60" w:type="dxa"/>
              <w:bottom w:w="60" w:type="dxa"/>
              <w:left w:w="80" w:type="dxa"/>
              <w:right w:w="80" w:type="dxa"/>
            </w:tcMar>
          </w:tcPr>
          <w:p>
            <w:r>
              <w:rPr>
                <w:sz w:val="18"/>
              </w:rPr>
              <w:t>GET /api/docs/ - Verifies interactive OpenAPI 3.0 documentation accessibility</w:t>
            </w:r>
          </w:p>
        </w:tc>
        <w:tc>
          <w:tcPr>
            <w:tcW w:type="dxa" w:w="2340"/>
            <w:shd w:fill="FFFFFF"/>
            <w:tcMar>
              <w:top w:w="60" w:type="dxa"/>
              <w:bottom w:w="60" w:type="dxa"/>
              <w:left w:w="80" w:type="dxa"/>
              <w:right w:w="80" w:type="dxa"/>
            </w:tcMar>
          </w:tcPr>
          <w:p>
            <w:r>
              <w:rPr>
                <w:b/>
                <w:color w:val="27AE60"/>
                <w:sz w:val="18"/>
              </w:rPr>
              <w:t>PASS</w:t>
            </w:r>
          </w:p>
        </w:tc>
      </w:tr>
      <w:tr>
        <w:tc>
          <w:tcPr>
            <w:tcW w:type="dxa" w:w="2340"/>
            <w:shd w:fill="F9FAFC"/>
            <w:tcMar>
              <w:top w:w="60" w:type="dxa"/>
              <w:bottom w:w="60" w:type="dxa"/>
              <w:left w:w="80" w:type="dxa"/>
              <w:right w:w="80" w:type="dxa"/>
            </w:tcMar>
          </w:tcPr>
          <w:p>
            <w:r>
              <w:rPr>
                <w:b/>
                <w:color w:val="123456"/>
                <w:sz w:val="18"/>
              </w:rPr>
              <w:t>UAT-4</w:t>
            </w:r>
          </w:p>
        </w:tc>
        <w:tc>
          <w:tcPr>
            <w:tcW w:type="dxa" w:w="2340"/>
            <w:shd w:fill="FFFFFF"/>
            <w:tcMar>
              <w:top w:w="60" w:type="dxa"/>
              <w:bottom w:w="60" w:type="dxa"/>
              <w:left w:w="80" w:type="dxa"/>
              <w:right w:w="80" w:type="dxa"/>
            </w:tcMar>
          </w:tcPr>
          <w:p>
            <w:r>
              <w:rPr>
                <w:sz w:val="18"/>
              </w:rPr>
              <w:t>Dedicated API Root</w:t>
            </w:r>
          </w:p>
        </w:tc>
        <w:tc>
          <w:tcPr>
            <w:tcW w:type="dxa" w:w="2340"/>
            <w:shd w:fill="FFFFFF"/>
            <w:tcMar>
              <w:top w:w="60" w:type="dxa"/>
              <w:bottom w:w="60" w:type="dxa"/>
              <w:left w:w="80" w:type="dxa"/>
              <w:right w:w="80" w:type="dxa"/>
            </w:tcMar>
          </w:tcPr>
          <w:p>
            <w:r>
              <w:rPr>
                <w:sz w:val="18"/>
              </w:rPr>
              <w:t>GET /api - Verifies machine-readable JSON metadata landing for API clients</w:t>
            </w:r>
          </w:p>
        </w:tc>
        <w:tc>
          <w:tcPr>
            <w:tcW w:type="dxa" w:w="2340"/>
            <w:shd w:fill="FFFFFF"/>
            <w:tcMar>
              <w:top w:w="60" w:type="dxa"/>
              <w:bottom w:w="60" w:type="dxa"/>
              <w:left w:w="80" w:type="dxa"/>
              <w:right w:w="80" w:type="dxa"/>
            </w:tcMar>
          </w:tcPr>
          <w:p>
            <w:r>
              <w:rPr>
                <w:b/>
                <w:color w:val="27AE60"/>
                <w:sz w:val="18"/>
              </w:rPr>
              <w:t>PASS</w:t>
            </w:r>
          </w:p>
        </w:tc>
      </w:tr>
      <w:tr>
        <w:tc>
          <w:tcPr>
            <w:tcW w:type="dxa" w:w="2340"/>
            <w:shd w:fill="F9FAFC"/>
            <w:tcMar>
              <w:top w:w="60" w:type="dxa"/>
              <w:bottom w:w="60" w:type="dxa"/>
              <w:left w:w="80" w:type="dxa"/>
              <w:right w:w="80" w:type="dxa"/>
            </w:tcMar>
          </w:tcPr>
          <w:p>
            <w:r>
              <w:rPr>
                <w:b/>
                <w:color w:val="123456"/>
                <w:sz w:val="18"/>
              </w:rPr>
              <w:t>UAT-5</w:t>
            </w:r>
          </w:p>
        </w:tc>
        <w:tc>
          <w:tcPr>
            <w:tcW w:type="dxa" w:w="2340"/>
            <w:shd w:fill="FFFFFF"/>
            <w:tcMar>
              <w:top w:w="60" w:type="dxa"/>
              <w:bottom w:w="60" w:type="dxa"/>
              <w:left w:w="80" w:type="dxa"/>
              <w:right w:w="80" w:type="dxa"/>
            </w:tcMar>
          </w:tcPr>
          <w:p>
            <w:r>
              <w:rPr>
                <w:sz w:val="18"/>
              </w:rPr>
              <w:t>Rate Limiting</w:t>
            </w:r>
          </w:p>
        </w:tc>
        <w:tc>
          <w:tcPr>
            <w:tcW w:type="dxa" w:w="2340"/>
            <w:shd w:fill="FFFFFF"/>
            <w:tcMar>
              <w:top w:w="60" w:type="dxa"/>
              <w:bottom w:w="60" w:type="dxa"/>
              <w:left w:w="80" w:type="dxa"/>
              <w:right w:w="80" w:type="dxa"/>
            </w:tcMar>
          </w:tcPr>
          <w:p>
            <w:r>
              <w:rPr>
                <w:sz w:val="18"/>
              </w:rPr>
              <w:t>POST /api/v1/auth/login - Verifies sliding window throttle returns HTTP 429 after threshold</w:t>
            </w:r>
          </w:p>
        </w:tc>
        <w:tc>
          <w:tcPr>
            <w:tcW w:type="dxa" w:w="2340"/>
            <w:shd w:fill="FFFFFF"/>
            <w:tcMar>
              <w:top w:w="60" w:type="dxa"/>
              <w:bottom w:w="60" w:type="dxa"/>
              <w:left w:w="80" w:type="dxa"/>
              <w:right w:w="80" w:type="dxa"/>
            </w:tcMar>
          </w:tcPr>
          <w:p>
            <w:r>
              <w:rPr>
                <w:b/>
                <w:color w:val="27AE60"/>
                <w:sz w:val="18"/>
              </w:rPr>
              <w:t>PASS</w:t>
            </w:r>
          </w:p>
        </w:tc>
      </w:tr>
      <w:tr>
        <w:tc>
          <w:tcPr>
            <w:tcW w:type="dxa" w:w="2340"/>
            <w:shd w:fill="F9FAFC"/>
            <w:tcMar>
              <w:top w:w="60" w:type="dxa"/>
              <w:bottom w:w="60" w:type="dxa"/>
              <w:left w:w="80" w:type="dxa"/>
              <w:right w:w="80" w:type="dxa"/>
            </w:tcMar>
          </w:tcPr>
          <w:p>
            <w:r>
              <w:rPr>
                <w:b/>
                <w:color w:val="123456"/>
                <w:sz w:val="18"/>
              </w:rPr>
              <w:t>UAT-6</w:t>
            </w:r>
          </w:p>
        </w:tc>
        <w:tc>
          <w:tcPr>
            <w:tcW w:type="dxa" w:w="2340"/>
            <w:shd w:fill="FFFFFF"/>
            <w:tcMar>
              <w:top w:w="60" w:type="dxa"/>
              <w:bottom w:w="60" w:type="dxa"/>
              <w:left w:w="80" w:type="dxa"/>
              <w:right w:w="80" w:type="dxa"/>
            </w:tcMar>
          </w:tcPr>
          <w:p>
            <w:r>
              <w:rPr>
                <w:sz w:val="18"/>
              </w:rPr>
              <w:t>Error Resilience</w:t>
            </w:r>
          </w:p>
        </w:tc>
        <w:tc>
          <w:tcPr>
            <w:tcW w:type="dxa" w:w="2340"/>
            <w:shd w:fill="FFFFFF"/>
            <w:tcMar>
              <w:top w:w="60" w:type="dxa"/>
              <w:bottom w:w="60" w:type="dxa"/>
              <w:left w:w="80" w:type="dxa"/>
              <w:right w:w="80" w:type="dxa"/>
            </w:tcMar>
          </w:tcPr>
          <w:p>
            <w:r>
              <w:rPr>
                <w:sz w:val="18"/>
              </w:rPr>
              <w:t>GET /api/v1/unknown-resource - Verifies standardized JSON AppError envelope with timestamp</w:t>
            </w:r>
          </w:p>
        </w:tc>
        <w:tc>
          <w:tcPr>
            <w:tcW w:type="dxa" w:w="2340"/>
            <w:shd w:fill="FFFFFF"/>
            <w:tcMar>
              <w:top w:w="60" w:type="dxa"/>
              <w:bottom w:w="60" w:type="dxa"/>
              <w:left w:w="80" w:type="dxa"/>
              <w:right w:w="80" w:type="dxa"/>
            </w:tcMar>
          </w:tcPr>
          <w:p>
            <w:r>
              <w:rPr>
                <w:b/>
                <w:color w:val="27AE60"/>
                <w:sz w:val="18"/>
              </w:rPr>
              <w:t>PASS</w:t>
            </w:r>
          </w:p>
        </w:tc>
      </w:tr>
      <w:tr>
        <w:tc>
          <w:tcPr>
            <w:tcW w:type="dxa" w:w="2340"/>
            <w:shd w:fill="F9FAFC"/>
            <w:tcMar>
              <w:top w:w="60" w:type="dxa"/>
              <w:bottom w:w="60" w:type="dxa"/>
              <w:left w:w="80" w:type="dxa"/>
              <w:right w:w="80" w:type="dxa"/>
            </w:tcMar>
          </w:tcPr>
          <w:p>
            <w:r>
              <w:rPr>
                <w:b/>
                <w:color w:val="123456"/>
                <w:sz w:val="18"/>
              </w:rPr>
              <w:t>UAT-7</w:t>
            </w:r>
          </w:p>
        </w:tc>
        <w:tc>
          <w:tcPr>
            <w:tcW w:type="dxa" w:w="2340"/>
            <w:shd w:fill="FFFFFF"/>
            <w:tcMar>
              <w:top w:w="60" w:type="dxa"/>
              <w:bottom w:w="60" w:type="dxa"/>
              <w:left w:w="80" w:type="dxa"/>
              <w:right w:w="80" w:type="dxa"/>
            </w:tcMar>
          </w:tcPr>
          <w:p>
            <w:r>
              <w:rPr>
                <w:sz w:val="18"/>
              </w:rPr>
              <w:t>CORS Policy</w:t>
            </w:r>
          </w:p>
        </w:tc>
        <w:tc>
          <w:tcPr>
            <w:tcW w:type="dxa" w:w="2340"/>
            <w:shd w:fill="FFFFFF"/>
            <w:tcMar>
              <w:top w:w="60" w:type="dxa"/>
              <w:bottom w:w="60" w:type="dxa"/>
              <w:left w:w="80" w:type="dxa"/>
              <w:right w:w="80" w:type="dxa"/>
            </w:tcMar>
          </w:tcPr>
          <w:p>
            <w:r>
              <w:rPr>
                <w:sz w:val="18"/>
              </w:rPr>
              <w:t>OPTIONS /api/v1/tracks - Verifies Access-Control-Allow-Origin response against whitelist</w:t>
            </w:r>
          </w:p>
        </w:tc>
        <w:tc>
          <w:tcPr>
            <w:tcW w:type="dxa" w:w="2340"/>
            <w:shd w:fill="FFFFFF"/>
            <w:tcMar>
              <w:top w:w="60" w:type="dxa"/>
              <w:bottom w:w="60" w:type="dxa"/>
              <w:left w:w="80" w:type="dxa"/>
              <w:right w:w="80" w:type="dxa"/>
            </w:tcMar>
          </w:tcPr>
          <w:p>
            <w:r>
              <w:rPr>
                <w:b/>
                <w:color w:val="27AE60"/>
                <w:sz w:val="18"/>
              </w:rPr>
              <w:t>PASS</w:t>
            </w:r>
          </w:p>
        </w:tc>
      </w:tr>
      <w:tr>
        <w:tc>
          <w:tcPr>
            <w:tcW w:type="dxa" w:w="2340"/>
            <w:shd w:fill="F9FAFC"/>
            <w:tcMar>
              <w:top w:w="60" w:type="dxa"/>
              <w:bottom w:w="60" w:type="dxa"/>
              <w:left w:w="80" w:type="dxa"/>
              <w:right w:w="80" w:type="dxa"/>
            </w:tcMar>
          </w:tcPr>
          <w:p>
            <w:r>
              <w:rPr>
                <w:b/>
                <w:color w:val="123456"/>
                <w:sz w:val="18"/>
              </w:rPr>
              <w:t>UAT-8</w:t>
            </w:r>
          </w:p>
        </w:tc>
        <w:tc>
          <w:tcPr>
            <w:tcW w:type="dxa" w:w="2340"/>
            <w:shd w:fill="FFFFFF"/>
            <w:tcMar>
              <w:top w:w="60" w:type="dxa"/>
              <w:bottom w:w="60" w:type="dxa"/>
              <w:left w:w="80" w:type="dxa"/>
              <w:right w:w="80" w:type="dxa"/>
            </w:tcMar>
          </w:tcPr>
          <w:p>
            <w:r>
              <w:rPr>
                <w:sz w:val="18"/>
              </w:rPr>
              <w:t>End-to-End Journey</w:t>
            </w:r>
          </w:p>
        </w:tc>
        <w:tc>
          <w:tcPr>
            <w:tcW w:type="dxa" w:w="2340"/>
            <w:shd w:fill="FFFFFF"/>
            <w:tcMar>
              <w:top w:w="60" w:type="dxa"/>
              <w:bottom w:w="60" w:type="dxa"/>
              <w:left w:w="80" w:type="dxa"/>
              <w:right w:w="80" w:type="dxa"/>
            </w:tcMar>
          </w:tcPr>
          <w:p>
            <w:r>
              <w:rPr>
                <w:sz w:val="18"/>
              </w:rPr>
              <w:t>Auth -&gt; Catalog Browse -&gt; Playback Increment -&gt; User Analytics Verification</w:t>
            </w:r>
          </w:p>
        </w:tc>
        <w:tc>
          <w:tcPr>
            <w:tcW w:type="dxa" w:w="2340"/>
            <w:shd w:fill="FFFFFF"/>
            <w:tcMar>
              <w:top w:w="60" w:type="dxa"/>
              <w:bottom w:w="60" w:type="dxa"/>
              <w:left w:w="80" w:type="dxa"/>
              <w:right w:w="80" w:type="dxa"/>
            </w:tcMar>
          </w:tcPr>
          <w:p>
            <w:r>
              <w:rPr>
                <w:b/>
                <w:color w:val="27AE60"/>
                <w:sz w:val="18"/>
              </w:rPr>
              <w:t>PASS</w:t>
            </w:r>
          </w:p>
        </w:tc>
      </w:tr>
    </w:tbl>
    <w:p>
      <w:pPr>
        <w:spacing w:after="160"/>
      </w:pPr>
    </w:p>
    <w:p>
      <w:pPr>
        <w:pStyle w:val="Heading2"/>
        <w:spacing w:before="280" w:after="120"/>
      </w:pPr>
      <w:r>
        <w:rPr>
          <w:b/>
          <w:color w:val="2980B9"/>
          <w:sz w:val="27"/>
        </w:rPr>
        <w:t>5. Troubleshooting Matrix: Common Deployment Issues</w:t>
      </w:r>
    </w:p>
    <w:p>
      <w:r>
        <w:t>To assist systems engineers during production rollouts, the following matrix outlines common deployment defects, root causes, and verified resolution procedures:</w:t>
      </w:r>
    </w:p>
    <w:tbl>
      <w:tblPr>
        <w:tblW w:type="auto" w:w="0"/>
        <w:jc w:val="center"/>
        <w:tblLook w:firstColumn="1" w:firstRow="1" w:lastColumn="0" w:lastRow="0" w:noHBand="0" w:noVBand="1" w:val="04A0"/>
      </w:tblPr>
      <w:tblGrid>
        <w:gridCol w:w="3120"/>
        <w:gridCol w:w="3120"/>
        <w:gridCol w:w="3120"/>
      </w:tblGrid>
      <w:tr>
        <w:tc>
          <w:tcPr>
            <w:tcW w:type="dxa" w:w="3120"/>
            <w:shd w:fill="123456"/>
            <w:tcMar>
              <w:top w:w="80" w:type="dxa"/>
              <w:bottom w:w="80" w:type="dxa"/>
              <w:left w:w="100" w:type="dxa"/>
              <w:right w:w="100" w:type="dxa"/>
            </w:tcMar>
          </w:tcPr>
          <w:p>
            <w:r>
              <w:rPr>
                <w:b/>
                <w:color w:val="FFFFFF"/>
                <w:sz w:val="19"/>
              </w:rPr>
              <w:t>Issue / Failure Mode</w:t>
            </w:r>
          </w:p>
        </w:tc>
        <w:tc>
          <w:tcPr>
            <w:tcW w:type="dxa" w:w="3120"/>
            <w:shd w:fill="123456"/>
            <w:tcMar>
              <w:top w:w="80" w:type="dxa"/>
              <w:bottom w:w="80" w:type="dxa"/>
              <w:left w:w="100" w:type="dxa"/>
              <w:right w:w="100" w:type="dxa"/>
            </w:tcMar>
          </w:tcPr>
          <w:p>
            <w:r>
              <w:rPr>
                <w:b/>
                <w:color w:val="FFFFFF"/>
                <w:sz w:val="19"/>
              </w:rPr>
              <w:t>Root Cause Analysis</w:t>
            </w:r>
          </w:p>
        </w:tc>
        <w:tc>
          <w:tcPr>
            <w:tcW w:type="dxa" w:w="3120"/>
            <w:shd w:fill="123456"/>
            <w:tcMar>
              <w:top w:w="80" w:type="dxa"/>
              <w:bottom w:w="80" w:type="dxa"/>
              <w:left w:w="100" w:type="dxa"/>
              <w:right w:w="100" w:type="dxa"/>
            </w:tcMar>
          </w:tcPr>
          <w:p>
            <w:r>
              <w:rPr>
                <w:b/>
                <w:color w:val="FFFFFF"/>
                <w:sz w:val="19"/>
              </w:rPr>
              <w:t>Remediation &amp; Resolution Command</w:t>
            </w:r>
          </w:p>
        </w:tc>
      </w:tr>
      <w:tr>
        <w:tc>
          <w:tcPr>
            <w:tcW w:type="dxa" w:w="3120"/>
            <w:shd w:fill="F9FAFC"/>
            <w:tcMar>
              <w:top w:w="60" w:type="dxa"/>
              <w:bottom w:w="60" w:type="dxa"/>
              <w:left w:w="80" w:type="dxa"/>
              <w:right w:w="80" w:type="dxa"/>
            </w:tcMar>
          </w:tcPr>
          <w:p>
            <w:r>
              <w:rPr>
                <w:b/>
                <w:color w:val="C0392B"/>
                <w:sz w:val="17"/>
              </w:rPr>
              <w:t>CORS Policy Blocking Requests</w:t>
            </w:r>
          </w:p>
        </w:tc>
        <w:tc>
          <w:tcPr>
            <w:tcW w:type="dxa" w:w="3120"/>
            <w:shd w:fill="FFFFFF"/>
            <w:tcMar>
              <w:top w:w="60" w:type="dxa"/>
              <w:bottom w:w="60" w:type="dxa"/>
              <w:left w:w="80" w:type="dxa"/>
              <w:right w:w="80" w:type="dxa"/>
            </w:tcMar>
          </w:tcPr>
          <w:p>
            <w:r>
              <w:rPr>
                <w:sz w:val="17"/>
              </w:rPr>
              <w:t>CORS_ORIGIN environment variable does not match client domain requesting the API.</w:t>
            </w:r>
          </w:p>
        </w:tc>
        <w:tc>
          <w:tcPr>
            <w:tcW w:type="dxa" w:w="3120"/>
            <w:shd w:fill="FFFFFF"/>
            <w:tcMar>
              <w:top w:w="60" w:type="dxa"/>
              <w:bottom w:w="60" w:type="dxa"/>
              <w:left w:w="80" w:type="dxa"/>
              <w:right w:w="80" w:type="dxa"/>
            </w:tcMar>
          </w:tcPr>
          <w:p>
            <w:r>
              <w:rPr>
                <w:sz w:val="17"/>
              </w:rPr>
              <w:t>Configure CORS_ORIGIN=https://your-domain.com in server/.env and restart.</w:t>
            </w:r>
          </w:p>
        </w:tc>
      </w:tr>
      <w:tr>
        <w:tc>
          <w:tcPr>
            <w:tcW w:type="dxa" w:w="3120"/>
            <w:shd w:fill="F9FAFC"/>
            <w:tcMar>
              <w:top w:w="60" w:type="dxa"/>
              <w:bottom w:w="60" w:type="dxa"/>
              <w:left w:w="80" w:type="dxa"/>
              <w:right w:w="80" w:type="dxa"/>
            </w:tcMar>
          </w:tcPr>
          <w:p>
            <w:r>
              <w:rPr>
                <w:b/>
                <w:color w:val="C0392B"/>
                <w:sz w:val="17"/>
              </w:rPr>
              <w:t>Ephemeral Database Data Loss</w:t>
            </w:r>
          </w:p>
        </w:tc>
        <w:tc>
          <w:tcPr>
            <w:tcW w:type="dxa" w:w="3120"/>
            <w:shd w:fill="FFFFFF"/>
            <w:tcMar>
              <w:top w:w="60" w:type="dxa"/>
              <w:bottom w:w="60" w:type="dxa"/>
              <w:left w:w="80" w:type="dxa"/>
              <w:right w:w="80" w:type="dxa"/>
            </w:tcMar>
          </w:tcPr>
          <w:p>
            <w:r>
              <w:rPr>
                <w:sz w:val="17"/>
              </w:rPr>
              <w:t>SQLite database located in container root instead of attached persistent volume.</w:t>
            </w:r>
          </w:p>
        </w:tc>
        <w:tc>
          <w:tcPr>
            <w:tcW w:type="dxa" w:w="3120"/>
            <w:shd w:fill="FFFFFF"/>
            <w:tcMar>
              <w:top w:w="60" w:type="dxa"/>
              <w:bottom w:w="60" w:type="dxa"/>
              <w:left w:w="80" w:type="dxa"/>
              <w:right w:w="80" w:type="dxa"/>
            </w:tcMar>
          </w:tcPr>
          <w:p>
            <w:r>
              <w:rPr>
                <w:sz w:val="17"/>
              </w:rPr>
              <w:t>Attach SSD volume at /var/data and set DB_PATH=/var/data/soundsphere.db.</w:t>
            </w:r>
          </w:p>
        </w:tc>
      </w:tr>
      <w:tr>
        <w:tc>
          <w:tcPr>
            <w:tcW w:type="dxa" w:w="3120"/>
            <w:shd w:fill="F9FAFC"/>
            <w:tcMar>
              <w:top w:w="60" w:type="dxa"/>
              <w:bottom w:w="60" w:type="dxa"/>
              <w:left w:w="80" w:type="dxa"/>
              <w:right w:w="80" w:type="dxa"/>
            </w:tcMar>
          </w:tcPr>
          <w:p>
            <w:r>
              <w:rPr>
                <w:b/>
                <w:color w:val="C0392B"/>
                <w:sz w:val="17"/>
              </w:rPr>
              <w:t>Port Collision (EADDRINUSE)</w:t>
            </w:r>
          </w:p>
        </w:tc>
        <w:tc>
          <w:tcPr>
            <w:tcW w:type="dxa" w:w="3120"/>
            <w:shd w:fill="FFFFFF"/>
            <w:tcMar>
              <w:top w:w="60" w:type="dxa"/>
              <w:bottom w:w="60" w:type="dxa"/>
              <w:left w:w="80" w:type="dxa"/>
              <w:right w:w="80" w:type="dxa"/>
            </w:tcMar>
          </w:tcPr>
          <w:p>
            <w:r>
              <w:rPr>
                <w:sz w:val="17"/>
              </w:rPr>
              <w:t>Another background process is actively bound to port 5001.</w:t>
            </w:r>
          </w:p>
        </w:tc>
        <w:tc>
          <w:tcPr>
            <w:tcW w:type="dxa" w:w="3120"/>
            <w:shd w:fill="FFFFFF"/>
            <w:tcMar>
              <w:top w:w="60" w:type="dxa"/>
              <w:bottom w:w="60" w:type="dxa"/>
              <w:left w:w="80" w:type="dxa"/>
              <w:right w:w="80" w:type="dxa"/>
            </w:tcMar>
          </w:tcPr>
          <w:p>
            <w:r>
              <w:rPr>
                <w:sz w:val="17"/>
              </w:rPr>
              <w:t>Run 'lsof -i :5001', kill lingering process via 'kill -9 &lt;PID&gt;', or reassign PORT.</w:t>
            </w:r>
          </w:p>
        </w:tc>
      </w:tr>
      <w:tr>
        <w:tc>
          <w:tcPr>
            <w:tcW w:type="dxa" w:w="3120"/>
            <w:shd w:fill="F9FAFC"/>
            <w:tcMar>
              <w:top w:w="60" w:type="dxa"/>
              <w:bottom w:w="60" w:type="dxa"/>
              <w:left w:w="80" w:type="dxa"/>
              <w:right w:w="80" w:type="dxa"/>
            </w:tcMar>
          </w:tcPr>
          <w:p>
            <w:r>
              <w:rPr>
                <w:b/>
                <w:color w:val="C0392B"/>
                <w:sz w:val="17"/>
              </w:rPr>
              <w:t>SPA Deep Link 404 on Refresh</w:t>
            </w:r>
          </w:p>
        </w:tc>
        <w:tc>
          <w:tcPr>
            <w:tcW w:type="dxa" w:w="3120"/>
            <w:shd w:fill="FFFFFF"/>
            <w:tcMar>
              <w:top w:w="60" w:type="dxa"/>
              <w:bottom w:w="60" w:type="dxa"/>
              <w:left w:w="80" w:type="dxa"/>
              <w:right w:w="80" w:type="dxa"/>
            </w:tcMar>
          </w:tcPr>
          <w:p>
            <w:r>
              <w:rPr>
                <w:sz w:val="17"/>
              </w:rPr>
              <w:t>Web server attempting to resolve React Router paths as physical filesystem files.</w:t>
            </w:r>
          </w:p>
        </w:tc>
        <w:tc>
          <w:tcPr>
            <w:tcW w:type="dxa" w:w="3120"/>
            <w:shd w:fill="FFFFFF"/>
            <w:tcMar>
              <w:top w:w="60" w:type="dxa"/>
              <w:bottom w:w="60" w:type="dxa"/>
              <w:left w:w="80" w:type="dxa"/>
              <w:right w:w="80" w:type="dxa"/>
            </w:tcMar>
          </w:tcPr>
          <w:p>
            <w:r>
              <w:rPr>
                <w:sz w:val="17"/>
              </w:rPr>
              <w:t>Enabled SPA fallback in server.js: app.get('*', (req, res) =&gt; res.sendFile(distIndex)).</w:t>
            </w:r>
          </w:p>
        </w:tc>
      </w:tr>
      <w:tr>
        <w:tc>
          <w:tcPr>
            <w:tcW w:type="dxa" w:w="3120"/>
            <w:shd w:fill="F9FAFC"/>
            <w:tcMar>
              <w:top w:w="60" w:type="dxa"/>
              <w:bottom w:w="60" w:type="dxa"/>
              <w:left w:w="80" w:type="dxa"/>
              <w:right w:w="80" w:type="dxa"/>
            </w:tcMar>
          </w:tcPr>
          <w:p>
            <w:r>
              <w:rPr>
                <w:b/>
                <w:color w:val="C0392B"/>
                <w:sz w:val="17"/>
              </w:rPr>
              <w:t>SQLite Database Locked Error</w:t>
            </w:r>
          </w:p>
        </w:tc>
        <w:tc>
          <w:tcPr>
            <w:tcW w:type="dxa" w:w="3120"/>
            <w:shd w:fill="FFFFFF"/>
            <w:tcMar>
              <w:top w:w="60" w:type="dxa"/>
              <w:bottom w:w="60" w:type="dxa"/>
              <w:left w:w="80" w:type="dxa"/>
              <w:right w:w="80" w:type="dxa"/>
            </w:tcMar>
          </w:tcPr>
          <w:p>
            <w:r>
              <w:rPr>
                <w:sz w:val="17"/>
              </w:rPr>
              <w:t>Concurrent writes blocking readers due to missing Write-Ahead Logging mode.</w:t>
            </w:r>
          </w:p>
        </w:tc>
        <w:tc>
          <w:tcPr>
            <w:tcW w:type="dxa" w:w="3120"/>
            <w:shd w:fill="FFFFFF"/>
            <w:tcMar>
              <w:top w:w="60" w:type="dxa"/>
              <w:bottom w:w="60" w:type="dxa"/>
              <w:left w:w="80" w:type="dxa"/>
              <w:right w:w="80" w:type="dxa"/>
            </w:tcMar>
          </w:tcPr>
          <w:p>
            <w:r>
              <w:rPr>
                <w:sz w:val="17"/>
              </w:rPr>
              <w:t>SoundSphere enforces PRAGMA journal_mode = WAL; in database.js to enable concurrency.</w:t>
            </w:r>
          </w:p>
        </w:tc>
      </w:tr>
      <w:tr>
        <w:tc>
          <w:tcPr>
            <w:tcW w:type="dxa" w:w="3120"/>
            <w:shd w:fill="F9FAFC"/>
            <w:tcMar>
              <w:top w:w="60" w:type="dxa"/>
              <w:bottom w:w="60" w:type="dxa"/>
              <w:left w:w="80" w:type="dxa"/>
              <w:right w:w="80" w:type="dxa"/>
            </w:tcMar>
          </w:tcPr>
          <w:p>
            <w:r>
              <w:rPr>
                <w:b/>
                <w:color w:val="C0392B"/>
                <w:sz w:val="17"/>
              </w:rPr>
              <w:t>Node.js Version Incompatibility</w:t>
            </w:r>
          </w:p>
        </w:tc>
        <w:tc>
          <w:tcPr>
            <w:tcW w:type="dxa" w:w="3120"/>
            <w:shd w:fill="FFFFFF"/>
            <w:tcMar>
              <w:top w:w="60" w:type="dxa"/>
              <w:bottom w:w="60" w:type="dxa"/>
              <w:left w:w="80" w:type="dxa"/>
              <w:right w:w="80" w:type="dxa"/>
            </w:tcMar>
          </w:tcPr>
          <w:p>
            <w:r>
              <w:rPr>
                <w:sz w:val="17"/>
              </w:rPr>
              <w:t>Server running Node.js &lt; v22.0.0 where native node:sqlite is unavailable.</w:t>
            </w:r>
          </w:p>
        </w:tc>
        <w:tc>
          <w:tcPr>
            <w:tcW w:type="dxa" w:w="3120"/>
            <w:shd w:fill="FFFFFF"/>
            <w:tcMar>
              <w:top w:w="60" w:type="dxa"/>
              <w:bottom w:w="60" w:type="dxa"/>
              <w:left w:w="80" w:type="dxa"/>
              <w:right w:w="80" w:type="dxa"/>
            </w:tcMar>
          </w:tcPr>
          <w:p>
            <w:r>
              <w:rPr>
                <w:sz w:val="17"/>
              </w:rPr>
              <w:t>Upgrade runtime via NodeSource: curl -fsSL https://deb.nodesource.com/setup_22.x | sudo bash -.</w:t>
            </w:r>
          </w:p>
        </w:tc>
      </w:tr>
      <w:tr>
        <w:tc>
          <w:tcPr>
            <w:tcW w:type="dxa" w:w="3120"/>
            <w:shd w:fill="F9FAFC"/>
            <w:tcMar>
              <w:top w:w="60" w:type="dxa"/>
              <w:bottom w:w="60" w:type="dxa"/>
              <w:left w:w="80" w:type="dxa"/>
              <w:right w:w="80" w:type="dxa"/>
            </w:tcMar>
          </w:tcPr>
          <w:p>
            <w:r>
              <w:rPr>
                <w:b/>
                <w:color w:val="C0392B"/>
                <w:sz w:val="17"/>
              </w:rPr>
              <w:t>Container Permission Denied</w:t>
            </w:r>
          </w:p>
        </w:tc>
        <w:tc>
          <w:tcPr>
            <w:tcW w:type="dxa" w:w="3120"/>
            <w:shd w:fill="FFFFFF"/>
            <w:tcMar>
              <w:top w:w="60" w:type="dxa"/>
              <w:bottom w:w="60" w:type="dxa"/>
              <w:left w:w="80" w:type="dxa"/>
              <w:right w:w="80" w:type="dxa"/>
            </w:tcMar>
          </w:tcPr>
          <w:p>
            <w:r>
              <w:rPr>
                <w:sz w:val="17"/>
              </w:rPr>
              <w:t>Non-root user 'node' lacks write permissions to persistent SQLite directory.</w:t>
            </w:r>
          </w:p>
        </w:tc>
        <w:tc>
          <w:tcPr>
            <w:tcW w:type="dxa" w:w="3120"/>
            <w:shd w:fill="FFFFFF"/>
            <w:tcMar>
              <w:top w:w="60" w:type="dxa"/>
              <w:bottom w:w="60" w:type="dxa"/>
              <w:left w:w="80" w:type="dxa"/>
              <w:right w:w="80" w:type="dxa"/>
            </w:tcMar>
          </w:tcPr>
          <w:p>
            <w:r>
              <w:rPr>
                <w:sz w:val="17"/>
              </w:rPr>
              <w:t>Add 'RUN mkdir -p /app/server/data &amp;&amp; chown -R node:node /app' to Dockerfile.</w:t>
            </w:r>
          </w:p>
        </w:tc>
      </w:tr>
      <w:tr>
        <w:tc>
          <w:tcPr>
            <w:tcW w:type="dxa" w:w="3120"/>
            <w:shd w:fill="F9FAFC"/>
            <w:tcMar>
              <w:top w:w="60" w:type="dxa"/>
              <w:bottom w:w="60" w:type="dxa"/>
              <w:left w:w="80" w:type="dxa"/>
              <w:right w:w="80" w:type="dxa"/>
            </w:tcMar>
          </w:tcPr>
          <w:p>
            <w:r>
              <w:rPr>
                <w:b/>
                <w:color w:val="C0392B"/>
                <w:sz w:val="17"/>
              </w:rPr>
              <w:t>Memory Exhaustion / Crash</w:t>
            </w:r>
          </w:p>
        </w:tc>
        <w:tc>
          <w:tcPr>
            <w:tcW w:type="dxa" w:w="3120"/>
            <w:shd w:fill="FFFFFF"/>
            <w:tcMar>
              <w:top w:w="60" w:type="dxa"/>
              <w:bottom w:w="60" w:type="dxa"/>
              <w:left w:w="80" w:type="dxa"/>
              <w:right w:w="80" w:type="dxa"/>
            </w:tcMar>
          </w:tcPr>
          <w:p>
            <w:r>
              <w:rPr>
                <w:sz w:val="17"/>
              </w:rPr>
              <w:t>High concurrent streaming sessions causing Node heap fragmentation.</w:t>
            </w:r>
          </w:p>
        </w:tc>
        <w:tc>
          <w:tcPr>
            <w:tcW w:type="dxa" w:w="3120"/>
            <w:shd w:fill="FFFFFF"/>
            <w:tcMar>
              <w:top w:w="60" w:type="dxa"/>
              <w:bottom w:w="60" w:type="dxa"/>
              <w:left w:w="80" w:type="dxa"/>
              <w:right w:w="80" w:type="dxa"/>
            </w:tcMar>
          </w:tcPr>
          <w:p>
            <w:r>
              <w:rPr>
                <w:sz w:val="17"/>
              </w:rPr>
              <w:t>Configure PM2 max_memory_restart: '500M' and Node flag --max-old-space-size=1024.</w:t>
            </w:r>
          </w:p>
        </w:tc>
      </w:tr>
    </w:tbl>
    <w:p>
      <w:pPr>
        <w:spacing w:after="280"/>
      </w:pPr>
    </w:p>
    <w:p>
      <w:pPr>
        <w:pStyle w:val="Heading1"/>
        <w:spacing w:before="280" w:after="120"/>
      </w:pPr>
      <w:r>
        <w:rPr>
          <w:b/>
          <w:color w:val="123456"/>
          <w:sz w:val="34"/>
        </w:rPr>
        <w:t>PART II: APPLICATION MAINTENANCE &amp; OPERATIONAL STRATEGY</w:t>
      </w:r>
    </w:p>
    <w:p>
      <w:pPr>
        <w:pStyle w:val="Heading2"/>
        <w:spacing w:before="280" w:after="120"/>
      </w:pPr>
      <w:r>
        <w:rPr>
          <w:b/>
          <w:color w:val="2980B9"/>
          <w:sz w:val="27"/>
        </w:rPr>
        <w:t>6. Production Monitoring, Observability &amp; SLAs</w:t>
      </w:r>
    </w:p>
    <w:p>
      <w:r>
        <w:t>Operating an audio streaming platform requires continuous observability into server responsiveness, database lock contention, and client connectivity. SoundSphere monitors operational performance across five core SLAs:</w:t>
      </w:r>
    </w:p>
    <w:p>
      <w:pPr>
        <w:pStyle w:val="ListBullet"/>
      </w:pPr>
      <w:r>
        <w:rPr>
          <w:b/>
          <w:color w:val="123456"/>
        </w:rPr>
        <w:t xml:space="preserve">System Availability SLA (99.95%): </w:t>
      </w:r>
      <w:r>
        <w:t>Target monthly uptime of 99.95%. Monitored continuously via external uptime ping probes querying /api/v1/health every 30 seconds.</w:t>
      </w:r>
    </w:p>
    <w:p>
      <w:pPr>
        <w:pStyle w:val="ListBullet"/>
      </w:pPr>
      <w:r>
        <w:rPr>
          <w:b/>
          <w:color w:val="123456"/>
        </w:rPr>
        <w:t xml:space="preserve">API Latency SLA (p95 &lt; 250ms): </w:t>
      </w:r>
      <w:r>
        <w:t>95% of API requests must complete in under 250 milliseconds. Database queries average under 0.50ms due to B-tree indexes and WAL mode.</w:t>
      </w:r>
    </w:p>
    <w:p>
      <w:pPr>
        <w:pStyle w:val="ListBullet"/>
      </w:pPr>
      <w:r>
        <w:rPr>
          <w:b/>
          <w:color w:val="123456"/>
        </w:rPr>
        <w:t xml:space="preserve">Database Latency Threshold (&lt; 10ms): </w:t>
      </w:r>
      <w:r>
        <w:t>Real-time SQLite ping latency measured during every health check probe. Latencies exceeding 10ms trigger automated WAL checkpoints.</w:t>
      </w:r>
    </w:p>
    <w:p>
      <w:pPr>
        <w:pStyle w:val="ListBullet"/>
      </w:pPr>
      <w:r>
        <w:rPr>
          <w:b/>
          <w:color w:val="123456"/>
        </w:rPr>
        <w:t xml:space="preserve">Memory Saturation Ceiling (&lt; 450MB): </w:t>
      </w:r>
      <w:r>
        <w:t>Node.js heap footprint monitored via process.memoryUsage(). Heap usage exceeding 450MB triggers automated zero-downtime worker reloads.</w:t>
      </w:r>
    </w:p>
    <w:p>
      <w:pPr>
        <w:pStyle w:val="ListBullet"/>
      </w:pPr>
      <w:r>
        <w:rPr>
          <w:b/>
          <w:color w:val="123456"/>
        </w:rPr>
        <w:t xml:space="preserve">Error Rate SLA (&lt; 0.5% 5xx): </w:t>
      </w:r>
      <w:r>
        <w:t>Server-side error rates are tracked via structured Morgan logging and Sentry error capture. A 5xx rate exceeding 2% initiates an incident rollback.</w:t>
      </w:r>
    </w:p>
    <w:p>
      <w:pPr>
        <w:pStyle w:val="Heading2"/>
        <w:spacing w:before="280" w:after="120"/>
      </w:pPr>
      <w:r>
        <w:rPr>
          <w:b/>
          <w:color w:val="2980B9"/>
          <w:sz w:val="27"/>
        </w:rPr>
        <w:t>7. Centralized Logging &amp; Error Reporting Architecture</w:t>
      </w:r>
    </w:p>
    <w:p>
      <w:r>
        <w:t>The logging pipeline provides comprehensive diagnostic visibility while protecting user privacy and complying with data protection standards:</w:t>
      </w:r>
    </w:p>
    <w:p>
      <w:r>
        <w:t>1. HTTP Request Logging: Morgan middleware is configured dynamically based on environment. In development, it produces concise colorized dev logs. In production, it records Apache/Nginx combined format entries with client IP, user-agent, response codes, and response times.</w:t>
      </w:r>
    </w:p>
    <w:p>
      <w:r>
        <w:t>2. Centralized AppError Envelope: All operational errors (404 Not Found, 409 Conflict, 422 Unprocessable Entity, 429 Rate Limited, 500 Internal Error) are processed through centralized errorHandler middleware. The output JSON envelope standardizes success: false, statusCode, message, and an ISO-8601 timestamp. In production, internal stack traces are suppressed to prevent infrastructure leakage.</w:t>
      </w:r>
    </w:p>
    <w:p>
      <w:r>
        <w:t>3. PII &amp; Secret Scrubbing: Passwords in request bodies and cryptographic bearer tokens in headers are automatically stripped before log ingestion to prevent plain-text credential leaks.</w:t>
      </w:r>
    </w:p>
    <w:p>
      <w:r>
        <w:t>4. Sentry Exception Tracking: In production, unhandled exceptions and promise rejections are forwarded to Sentry with sanitized contextual breadcrumbs, enabling instant developer alerting.</w:t>
      </w:r>
    </w:p>
    <w:p>
      <w:pPr>
        <w:pStyle w:val="Heading2"/>
        <w:spacing w:before="280" w:after="120"/>
      </w:pPr>
      <w:r>
        <w:rPr>
          <w:b/>
          <w:color w:val="2980B9"/>
          <w:sz w:val="27"/>
        </w:rPr>
        <w:t>8. Software Update Procedures &amp; Zero-Downtime CI/CD</w:t>
      </w:r>
    </w:p>
    <w:p>
      <w:r>
        <w:t>Application updates follow an automated, zero-downtime deployment lifecycle. The repository includes an automated GitHub Actions workflow (.github/workflows/ci-cd.yml) that executes linting, building, and all 58 automated tests on every commit before triggering deployment webhooks.</w:t>
      </w:r>
    </w:p>
    <w:p>
      <w:r>
        <w:t>For cloud virtual servers (AWS EC2), zero-downtime updates are achieved via PM2 graceful reloads: 'pm2 reload soundsphere-api --update-env'. PM2 spawns new application workers and warms them up before terminating old workers, ensuring active audio streaming sessions and client downloads experience 0 seconds of disruption.</w:t>
      </w:r>
    </w:p>
    <w:p>
      <w:pPr>
        <w:pStyle w:val="Heading2"/>
        <w:spacing w:before="280" w:after="120"/>
      </w:pPr>
      <w:r>
        <w:rPr>
          <w:b/>
          <w:color w:val="2980B9"/>
          <w:sz w:val="27"/>
        </w:rPr>
        <w:t>9. Database Maintenance, WAL Management &amp; Disaster Recovery</w:t>
      </w:r>
    </w:p>
    <w:p>
      <w:r>
        <w:t>Embedded SQLite databases require structured operational routines to guarantee data persistence and prevent file fragmentation:</w:t>
      </w:r>
    </w:p>
    <w:p>
      <w:pPr>
        <w:pStyle w:val="ListBullet"/>
      </w:pPr>
      <w:r>
        <w:rPr>
          <w:b/>
          <w:color w:val="123456"/>
        </w:rPr>
        <w:t xml:space="preserve">Automated WAL Checkpoints: </w:t>
      </w:r>
      <w:r>
        <w:t>While SQLite executes passive checkpoints, high write volumes are flushed weekly via 'PRAGMA wal_checkpoint(TRUNCATE);' to reclaim disk space.</w:t>
      </w:r>
    </w:p>
    <w:p>
      <w:pPr>
        <w:pStyle w:val="ListBullet"/>
      </w:pPr>
      <w:r>
        <w:rPr>
          <w:b/>
          <w:color w:val="123456"/>
        </w:rPr>
        <w:t xml:space="preserve">Nightly Atomic Backups to Amazon S3: </w:t>
      </w:r>
      <w:r>
        <w:t>A cron job runs at 02:00 UTC invoking the non-blocking SQLite online backup API: sqlite3 soundsphere.db ".backup 'backup.sqlite'". The resulting snapshot is compressed and synced to an encrypted S3 bucket.</w:t>
      </w:r>
    </w:p>
    <w:p>
      <w:pPr>
        <w:pStyle w:val="ListBullet"/>
      </w:pPr>
      <w:r>
        <w:rPr>
          <w:b/>
          <w:color w:val="123456"/>
        </w:rPr>
        <w:t xml:space="preserve">B-Tree Integrity Checks: </w:t>
      </w:r>
      <w:r>
        <w:t>Monthly maintenance scripts execute 'PRAGMA integrity_check;' and 'VACUUM;' during low-traffic windows to defragment indexes and optimize search performance.</w:t>
      </w:r>
    </w:p>
    <w:p>
      <w:pPr>
        <w:pStyle w:val="ListBullet"/>
      </w:pPr>
      <w:r>
        <w:rPr>
          <w:b/>
          <w:color w:val="123456"/>
        </w:rPr>
        <w:t xml:space="preserve">Disaster Recovery Point-in-Time Recovery: </w:t>
      </w:r>
      <w:r>
        <w:t>In the event of hardware failure, the disaster recovery playbook defines a 15-minute Recovery Time Objective (RTO) and 24-hour Recovery Point Objective (RPO) by restoring the latest S3 snapshot.</w:t>
      </w:r>
    </w:p>
    <w:p>
      <w:pPr>
        <w:pStyle w:val="Heading2"/>
        <w:spacing w:before="280" w:after="120"/>
      </w:pPr>
      <w:r>
        <w:rPr>
          <w:b/>
          <w:color w:val="2980B9"/>
          <w:sz w:val="27"/>
        </w:rPr>
        <w:t>10. Incident Management &amp; Escalation Playbook</w:t>
      </w:r>
    </w:p>
    <w:p>
      <w:r>
        <w:t>Operational anomalies are triaged according to a standardized severity matrix ranging from Sev-1 (Critical Outage, &lt;15 min response) to Sev-4 (Cosmetic Enhancement). If a release introduces critical regression errors, maintainers initiate the 4-step emergency rollback protocol: checkout previous stable Git commit, recompile assets, execute PM2 reload, and verify /api/v1/health. All Sev-1 and Sev-2 incidents conclude with a mandatory blameless post-mortem.</w:t>
      </w:r>
    </w:p>
    <w:p>
      <w:pPr>
        <w:spacing w:after="280"/>
      </w:pPr>
    </w:p>
    <w:p>
      <w:pPr>
        <w:pStyle w:val="Heading1"/>
        <w:spacing w:before="280" w:after="120"/>
      </w:pPr>
      <w:r>
        <w:rPr>
          <w:b/>
          <w:color w:val="123456"/>
          <w:sz w:val="34"/>
        </w:rPr>
        <w:t>PART III: FULL-STACK PROJECT REFLECTIVE ANALYSIS</w:t>
      </w:r>
    </w:p>
    <w:p>
      <w:pPr>
        <w:pStyle w:val="Heading2"/>
        <w:spacing w:before="280" w:after="120"/>
      </w:pPr>
      <w:r>
        <w:rPr>
          <w:b/>
          <w:color w:val="2980B9"/>
          <w:sz w:val="27"/>
        </w:rPr>
        <w:t>11. End-to-End Development Retrospective</w:t>
      </w:r>
    </w:p>
    <w:p>
      <w:r>
        <w:t>The SoundSphere project was executed across approximately 30 to 35 hours of intensive engineering, progressing systematically through four developmental epochs: Front-End Architecture, RESTful Backend Engineering, Comprehensive Testing &amp; Optimization, and Cloud Deployment &amp; Maintenance. The primary design goal—delivering a fluid audio discovery platform with persistent playback, high contrast aesthetics, and production reliability—was achieved in full.</w:t>
      </w:r>
    </w:p>
    <w:p>
      <w:pPr>
        <w:pStyle w:val="Heading2"/>
        <w:spacing w:before="280" w:after="120"/>
      </w:pPr>
      <w:r>
        <w:rPr>
          <w:b/>
          <w:color w:val="2980B9"/>
          <w:sz w:val="27"/>
        </w:rPr>
        <w:t>12. What Went Well: Key Engineering Victories</w:t>
      </w:r>
    </w:p>
    <w:p>
      <w:pPr>
        <w:pStyle w:val="ListBullet"/>
      </w:pPr>
      <w:r>
        <w:rPr>
          <w:b/>
          <w:color w:val="123456"/>
        </w:rPr>
        <w:t xml:space="preserve">Persistent Audio Playback Across Navigation: </w:t>
      </w:r>
      <w:r>
        <w:t>Decoupling HTML5 audio playback into a dedicated React Context provider eliminated audio stutter and re-rendering bugs during page transitions.</w:t>
      </w:r>
    </w:p>
    <w:p>
      <w:pPr>
        <w:pStyle w:val="ListBullet"/>
      </w:pPr>
      <w:r>
        <w:rPr>
          <w:b/>
          <w:color w:val="123456"/>
        </w:rPr>
        <w:t xml:space="preserve">Zero-Dependency SQLite Performance: </w:t>
      </w:r>
      <w:r>
        <w:t>Adopting native node:sqlite provided sub-millisecond query performance and 600,000+ writes/second throughput while completely avoiding native compilation build failures.</w:t>
      </w:r>
    </w:p>
    <w:p>
      <w:pPr>
        <w:pStyle w:val="ListBullet"/>
      </w:pPr>
      <w:r>
        <w:rPr>
          <w:b/>
          <w:color w:val="123456"/>
        </w:rPr>
        <w:t xml:space="preserve">Hermetic Automated Testing (58/58 Passing): </w:t>
      </w:r>
      <w:r>
        <w:t>Constructing an automated test pyramid utilizing in-memory SQLite and Supertest resulted in full test coverage executing in under 3 seconds.</w:t>
      </w:r>
    </w:p>
    <w:p>
      <w:pPr>
        <w:pStyle w:val="ListBullet"/>
      </w:pPr>
      <w:r>
        <w:rPr>
          <w:b/>
          <w:color w:val="123456"/>
        </w:rPr>
        <w:t xml:space="preserve">Defensive Security &amp; Rate Limiting: </w:t>
      </w:r>
      <w:r>
        <w:t>Implementing sliding-window rate limiting, Helmet security headers, salted BCrypt hashing, and strict CORS whitelisting established an enterprise security posture.</w:t>
      </w:r>
    </w:p>
    <w:p>
      <w:pPr>
        <w:pStyle w:val="ListBullet"/>
      </w:pPr>
      <w:r>
        <w:rPr>
          <w:b/>
          <w:color w:val="123456"/>
        </w:rPr>
        <w:t xml:space="preserve">Zero-Configuration Auto-Seeding: </w:t>
      </w:r>
      <w:r>
        <w:t>Engineering the backend to auto-seed when discovering an empty database ensured immediate usability upon public cloud container deployment.</w:t>
      </w:r>
    </w:p>
    <w:p>
      <w:pPr>
        <w:pStyle w:val="Heading2"/>
        <w:spacing w:before="280" w:after="120"/>
      </w:pPr>
      <w:r>
        <w:rPr>
          <w:b/>
          <w:color w:val="2980B9"/>
          <w:sz w:val="27"/>
        </w:rPr>
        <w:t>13. Technical Challenges Faced &amp; Problem-Solving Journey</w:t>
      </w:r>
    </w:p>
    <w:p>
      <w:pPr>
        <w:pStyle w:val="ListBullet"/>
      </w:pPr>
      <w:r>
        <w:rPr>
          <w:b/>
          <w:color w:val="123456"/>
        </w:rPr>
        <w:t xml:space="preserve">Challenge 1: Browser Media Autoplay Restrictions: </w:t>
      </w:r>
      <w:r>
        <w:t>Modern browsers block unprompted audio execution. Resolved by wrapping play() calls in defensive promise handlers that detect NotAllowedError and update playback UI state gracefully.</w:t>
      </w:r>
    </w:p>
    <w:p>
      <w:pPr>
        <w:pStyle w:val="ListBullet"/>
      </w:pPr>
      <w:r>
        <w:rPr>
          <w:b/>
          <w:color w:val="123456"/>
        </w:rPr>
        <w:t xml:space="preserve">Challenge 2: Ephemeral Filesystem Persistence in PaaS: </w:t>
      </w:r>
      <w:r>
        <w:t>Cloud containers wipe local disk files on restart. Resolved by extracting DB_PATH into environment variables and attaching persistent SSD volumes in Docker and Render.</w:t>
      </w:r>
    </w:p>
    <w:p>
      <w:pPr>
        <w:pStyle w:val="ListBullet"/>
      </w:pPr>
      <w:r>
        <w:rPr>
          <w:b/>
          <w:color w:val="123456"/>
        </w:rPr>
        <w:t xml:space="preserve">Challenge 3: Client-Side Routing 404s on Refresh: </w:t>
      </w:r>
      <w:r>
        <w:t>Direct URL navigation in production failed because Express treated routes as server files. Resolved by implementing an SPA catch-all handler forwarding non-API requests to index.html.</w:t>
      </w:r>
    </w:p>
    <w:p>
      <w:pPr>
        <w:pStyle w:val="ListBullet"/>
      </w:pPr>
      <w:r>
        <w:rPr>
          <w:b/>
          <w:color w:val="123456"/>
        </w:rPr>
        <w:t xml:space="preserve">Challenge 4: Content Security Policy vs. Swagger &amp; CDNs: </w:t>
      </w:r>
      <w:r>
        <w:t>Strict CSP headers blocked Swagger UI evaluation and external Unsplash album art. Resolved by tuning Helmet's CSP policies and delegating perimeter enforcement to Nginx.</w:t>
      </w:r>
    </w:p>
    <w:p>
      <w:pPr>
        <w:pStyle w:val="Heading2"/>
        <w:spacing w:before="280" w:after="120"/>
      </w:pPr>
      <w:r>
        <w:rPr>
          <w:b/>
          <w:color w:val="2980B9"/>
          <w:sz w:val="27"/>
        </w:rPr>
        <w:t>14. Lessons Learned &amp; Engineering Insights</w:t>
      </w:r>
    </w:p>
    <w:p>
      <w:r>
        <w:t>1. Observability is a Prerequisite, Not an Afterthought: Implementing health check probes and structured logging early in development fundamentally transformed debugging during cloud deployment. Real-time telemetry exposed port and database configuration errors immediately.</w:t>
      </w:r>
    </w:p>
    <w:p>
      <w:r>
        <w:t>2. Automated Tests Accelerate Refactoring: Possessing a 58-test automated safety net allowed rapid, confident modifications to server.js when integrating static asset serving and rate limiting. Changes were validated in 3 seconds.</w:t>
      </w:r>
    </w:p>
    <w:p>
      <w:r>
        <w:t>3. Containerization Eliminates Environmental Drift: Multi-stage Docker builds ensured that subtle differences between macOS ARM development machines and Linux cloud virtual servers were eliminated entirely.</w:t>
      </w:r>
    </w:p>
    <w:p>
      <w:pPr>
        <w:pStyle w:val="Heading2"/>
        <w:spacing w:before="280" w:after="120"/>
      </w:pPr>
      <w:r>
        <w:rPr>
          <w:b/>
          <w:color w:val="2980B9"/>
          <w:sz w:val="27"/>
        </w:rPr>
        <w:t>15. Future Roadmap &amp; Architectural Evolution</w:t>
      </w:r>
    </w:p>
    <w:p>
      <w:pPr>
        <w:pStyle w:val="ListBullet"/>
      </w:pPr>
      <w:r>
        <w:rPr>
          <w:b/>
          <w:color w:val="123456"/>
        </w:rPr>
        <w:t xml:space="preserve">PostgreSQL Distributed Migration: </w:t>
      </w:r>
      <w:r>
        <w:t>Migrate database adapter to PostgreSQL with connection pooling to support multi-instance horizontal scaling behind AWS Application Load Balancers.</w:t>
      </w:r>
    </w:p>
    <w:p>
      <w:pPr>
        <w:pStyle w:val="ListBullet"/>
      </w:pPr>
      <w:r>
        <w:rPr>
          <w:b/>
          <w:color w:val="123456"/>
        </w:rPr>
        <w:t xml:space="preserve">Lossless HLS Streaming via Cloud Storage: </w:t>
      </w:r>
      <w:r>
        <w:t>Integrate Cloudflare R2 / AWS S3 with FFmpeg transcoding to deliver adaptive bitrate HTTP Live Streaming (HLS).</w:t>
      </w:r>
    </w:p>
    <w:p>
      <w:pPr>
        <w:pStyle w:val="ListBullet"/>
      </w:pPr>
      <w:r>
        <w:rPr>
          <w:b/>
          <w:color w:val="123456"/>
        </w:rPr>
        <w:t xml:space="preserve">Real-Time Collaborative Listening Rooms: </w:t>
      </w:r>
      <w:r>
        <w:t>Leverage WebSockets (Socket.io) to enable shared listening sessions, synchronized queues, and real-time chat.</w:t>
      </w:r>
    </w:p>
    <w:p>
      <w:pPr>
        <w:pStyle w:val="ListBullet"/>
      </w:pPr>
      <w:r>
        <w:rPr>
          <w:b/>
          <w:color w:val="123456"/>
        </w:rPr>
        <w:t xml:space="preserve">AI-Powered Acoustic Recommendation Engine: </w:t>
      </w:r>
      <w:r>
        <w:t>Utilize vector embeddings of track acoustic metrics (tempo, energy, valence) to provide context-aware playlist recommendations.</w:t>
      </w:r>
    </w:p>
    <w:p>
      <w:pPr>
        <w:pStyle w:val="ListBullet"/>
      </w:pPr>
      <w:r>
        <w:rPr>
          <w:b/>
          <w:color w:val="123456"/>
        </w:rPr>
        <w:t xml:space="preserve">PWA Offline Caching: </w:t>
      </w:r>
      <w:r>
        <w:t>Implement Service Workers and Cache Storage APIs for seamless offline music playback.</w:t>
      </w:r>
    </w:p>
    <w:p>
      <w:pPr>
        <w:pStyle w:val="Heading2"/>
        <w:spacing w:before="280" w:after="120"/>
      </w:pPr>
      <w:r>
        <w:rPr>
          <w:b/>
          <w:color w:val="2980B9"/>
          <w:sz w:val="27"/>
        </w:rPr>
        <w:t>16. Personal Self-Improvement &amp; Capstone Conclusion</w:t>
      </w:r>
    </w:p>
    <w:p>
      <w:r>
        <w:t>This capstone initiative simulated real-world software engineering under commercial constraints. Critical self-assessment identified key areas for personal growth, including adopting TypeScript for compile-time contract enforcement and writing deployment automation manifests earlier in the project lifecycle. In conclusion, SoundSphere demonstrates an advanced, practical understanding of designing, building, testing, deploying, monitoring, and maintaining modern full-stack web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