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Individual Portfolio</w:t>
      </w:r>
    </w:p>
    <w:p>
      <w:pPr>
        <w:spacing w:after="30"/>
        <w:jc w:val="center"/>
      </w:pPr>
      <w:r>
        <w:rPr>
          <w:rFonts w:ascii="Calibri" w:cs="Calibri" w:eastAsia="Calibri" w:hAnsi="Calibri"/>
          <w:sz w:val="19"/>
          <w:szCs w:val="19"/>
        </w:rPr>
        <w:t xml:space="preserve">Tanishq Bhaiji · Team 3 · Build role: Developer</w:t>
      </w:r>
    </w:p>
    <w:p>
      <w:pPr>
        <w:spacing w:after="180"/>
        <w:jc w:val="center"/>
      </w:pPr>
      <w:r>
        <w:rPr>
          <w:rFonts w:ascii="Calibri" w:cs="Calibri" w:eastAsia="Calibri" w:hAnsi="Calibri"/>
          <w:color w:val="666666"/>
          <w:sz w:val="17"/>
          <w:szCs w:val="17"/>
        </w:rPr>
        <w:t xml:space="preserve">AI in Business · AIBS × AEL · HAN minor Data Driven Decision Making in Business</w:t>
      </w:r>
    </w:p>
    <w:p>
      <w:pPr>
        <w:pStyle w:val="Heading1"/>
        <w:spacing w:after="60" w:before="280"/>
      </w:pPr>
      <w:r>
        <w:rPr>
          <w:rFonts w:ascii="Calibri" w:cs="Calibri" w:eastAsia="Calibri" w:hAnsi="Calibri"/>
          <w:b/>
          <w:bCs/>
          <w:sz w:val="24"/>
          <w:szCs w:val="24"/>
        </w:rPr>
        <w:t xml:space="preserve">Week 1: Problem analysis, target audience, research proposal</w:t>
      </w:r>
    </w:p>
    <w:p>
      <w:pPr>
        <w:pStyle w:val="Heading2"/>
        <w:spacing w:after="40" w:before="150"/>
      </w:pPr>
      <w:r>
        <w:rPr>
          <w:rFonts w:ascii="Calibri" w:cs="Calibri" w:eastAsia="Calibri" w:hAnsi="Calibri"/>
          <w:b/>
          <w:bCs/>
          <w:sz w:val="20"/>
          <w:szCs w:val="20"/>
        </w:rPr>
        <w:t xml:space="preserve">What did I contribute?</w:t>
      </w:r>
    </w:p>
    <w:p>
      <w:pPr>
        <w:spacing w:after="65" w:line="258"/>
      </w:pPr>
      <w:r>
        <w:rPr>
          <w:rFonts w:ascii="Calibri" w:cs="Calibri" w:eastAsia="Calibri" w:hAnsi="Calibri"/>
          <w:sz w:val="19"/>
          <w:szCs w:val="19"/>
        </w:rPr>
        <w:t xml:space="preserve">Valentina brought the case. She works in home care and sees clients left uninformed about when a caretaker will arrive. We spent the session working the research proposal out together. I set up the team's GitHub repository and structured it so both week-1 documents could be reached from one page. In the PRD I drafted the problem statement and wrote the first version of the five workflow steps in §2. The framing of the Dutch language gap as a platform requirement, rather than a favour one person does by hand, came out of the group discussion, but I wrote it into the document.</w:t>
      </w:r>
    </w:p>
    <w:p>
      <w:pPr>
        <w:pStyle w:val="Heading2"/>
        <w:spacing w:after="40" w:before="150"/>
      </w:pPr>
      <w:r>
        <w:rPr>
          <w:rFonts w:ascii="Calibri" w:cs="Calibri" w:eastAsia="Calibri" w:hAnsi="Calibri"/>
          <w:b/>
          <w:bCs/>
          <w:sz w:val="20"/>
          <w:szCs w:val="20"/>
        </w:rPr>
        <w:t xml:space="preserve">What did my build role do first?</w:t>
      </w:r>
    </w:p>
    <w:p>
      <w:pPr>
        <w:spacing w:after="65" w:line="258"/>
      </w:pPr>
      <w:r>
        <w:rPr>
          <w:rFonts w:ascii="Calibri" w:cs="Calibri" w:eastAsia="Calibri" w:hAnsi="Calibri"/>
          <w:sz w:val="19"/>
          <w:szCs w:val="19"/>
        </w:rPr>
        <w:t xml:space="preserve">A throwaway CLI build, as the assignment asked. I tested whether an agentic CLI could retrieve and translate a Dutch CBS page in one prompt. It could, roughly. The useful part was the failure: retrieval without a Dutch-language query missed the best sources entirely. That is why dual-language retrieval went into the PRD as a hard requirement rather than a nice-to-have.</w:t>
      </w:r>
    </w:p>
    <w:p>
      <w:pPr>
        <w:pStyle w:val="Heading2"/>
        <w:spacing w:after="40" w:before="150"/>
      </w:pPr>
      <w:r>
        <w:rPr>
          <w:rFonts w:ascii="Calibri" w:cs="Calibri" w:eastAsia="Calibri" w:hAnsi="Calibri"/>
          <w:b/>
          <w:bCs/>
          <w:sz w:val="20"/>
          <w:szCs w:val="20"/>
        </w:rPr>
        <w:t xml:space="preserve">What do I not understand yet?</w:t>
      </w:r>
    </w:p>
    <w:p>
      <w:pPr>
        <w:spacing w:after="65" w:line="258"/>
      </w:pPr>
      <w:r>
        <w:rPr>
          <w:rFonts w:ascii="Calibri" w:cs="Calibri" w:eastAsia="Calibri" w:hAnsi="Calibri"/>
          <w:sz w:val="19"/>
          <w:szCs w:val="19"/>
        </w:rPr>
        <w:t xml:space="preserve">What “building a platform” means when I am not writing the code. I can get a single prompt to do something useful; I cannot yet see how a sequence of prompts becomes something that behaves the same way next week when someone else runs it. I also do not know how we will judge whether the output is good enough, beyond reading it and forming an opinion.</w:t>
      </w:r>
    </w:p>
    <w:p>
      <w:pPr>
        <w:pStyle w:val="Heading1"/>
        <w:spacing w:after="60" w:before="280"/>
      </w:pPr>
      <w:r>
        <w:rPr>
          <w:rFonts w:ascii="Calibri" w:cs="Calibri" w:eastAsia="Calibri" w:hAnsi="Calibri"/>
          <w:b/>
          <w:bCs/>
          <w:sz w:val="24"/>
          <w:szCs w:val="24"/>
        </w:rPr>
        <w:t xml:space="preserve">Week 2: Geopolitics &amp; vendor models</w:t>
      </w:r>
    </w:p>
    <w:p>
      <w:pPr>
        <w:pStyle w:val="Heading2"/>
        <w:spacing w:after="40" w:before="150"/>
      </w:pPr>
      <w:r>
        <w:rPr>
          <w:rFonts w:ascii="Calibri" w:cs="Calibri" w:eastAsia="Calibri" w:hAnsi="Calibri"/>
          <w:b/>
          <w:bCs/>
          <w:sz w:val="20"/>
          <w:szCs w:val="20"/>
        </w:rPr>
        <w:t xml:space="preserve">What did the team publish?</w:t>
      </w:r>
    </w:p>
    <w:p>
      <w:pPr>
        <w:spacing w:after="65" w:line="258"/>
      </w:pPr>
      <w:r>
        <w:rPr>
          <w:rFonts w:ascii="Calibri" w:cs="Calibri" w:eastAsia="Calibri" w:hAnsi="Calibri"/>
          <w:sz w:val="19"/>
          <w:szCs w:val="19"/>
        </w:rPr>
        <w:t xml:space="preserve">A revised PRD and research proposal answering the week-1 Socratic questions, the first draft of the technical blueprint, the search-strategy and source-quality document, and Handbook Theme 1 on who owns the AI an SME depends on. Anisah split the week: Nikola and I took the blueprint, the rest of the team took the handbook page and the search strategy.</w:t>
      </w:r>
    </w:p>
    <w:p>
      <w:pPr>
        <w:pStyle w:val="Heading2"/>
        <w:spacing w:after="40" w:before="150"/>
      </w:pPr>
      <w:r>
        <w:rPr>
          <w:rFonts w:ascii="Calibri" w:cs="Calibri" w:eastAsia="Calibri" w:hAnsi="Calibri"/>
          <w:b/>
          <w:bCs/>
          <w:sz w:val="20"/>
          <w:szCs w:val="20"/>
        </w:rPr>
        <w:t xml:space="preserve">What did I contribute?</w:t>
      </w:r>
    </w:p>
    <w:p>
      <w:pPr>
        <w:spacing w:after="65" w:line="258"/>
      </w:pPr>
      <w:r>
        <w:rPr>
          <w:rFonts w:ascii="Calibri" w:cs="Calibri" w:eastAsia="Calibri" w:hAnsi="Calibri"/>
          <w:sz w:val="19"/>
          <w:szCs w:val="19"/>
        </w:rPr>
        <w:t xml:space="preserve">The vendor jurisdiction research behind the week's theme, covering four regulatory layers: GDPR Article 9 and special-category data, NEN 7510 as the Dutch care-sector gate, the EU-US Data Privacy Framework, and EU AI Act Annex III. I appraised every source out of ten with a written justification and cross-checked against primary sources. That caught an error of my own: I had written the AI Act Annex III deadline as 2 August 2026 when it had been deferred to 2 December 2027 by the AI Omnibus. I corrected it before the document went to the team.</w:t>
      </w:r>
    </w:p>
    <w:p>
      <w:pPr>
        <w:spacing w:after="65" w:line="258"/>
      </w:pPr>
      <w:r>
        <w:rPr>
          <w:rFonts w:ascii="Calibri" w:cs="Calibri" w:eastAsia="Calibri" w:hAnsi="Calibri"/>
          <w:sz w:val="19"/>
          <w:szCs w:val="19"/>
        </w:rPr>
        <w:t xml:space="preserve">I also found the Nedap Ons and Caren material. The dominant Dutch care-record system already ships a free family portal showing the visit agenda. If Thuiszorg Totaal runs Ons without Caren, the honest recommendation may not involve AI at all.</w:t>
      </w:r>
    </w:p>
    <w:p>
      <w:pPr>
        <w:spacing w:after="65" w:line="258"/>
      </w:pPr>
      <w:r>
        <w:rPr>
          <w:rFonts w:ascii="Calibri" w:cs="Calibri" w:eastAsia="Calibri" w:hAnsi="Calibri"/>
          <w:sz w:val="19"/>
          <w:szCs w:val="19"/>
        </w:rPr>
        <w:t xml:space="preserve">On the blueprint I did most of the initial draft, with Nikola; he led the rewrite later in the run. I proposed the file-as-contract design: every part produces a file with a fixed shape, so any step can be done by hand. That came straight out of the week-1 failure: when the CLI could not translate a source we needed to drop in a manual translation and carry on. If the next part expects a file rather than a tool, that works unchanged.</w:t>
      </w:r>
    </w:p>
    <w:p>
      <w:pPr>
        <w:pStyle w:val="Heading2"/>
        <w:spacing w:after="40" w:before="150"/>
      </w:pPr>
      <w:r>
        <w:rPr>
          <w:rFonts w:ascii="Calibri" w:cs="Calibri" w:eastAsia="Calibri" w:hAnsi="Calibri"/>
          <w:b/>
          <w:bCs/>
          <w:sz w:val="20"/>
          <w:szCs w:val="20"/>
        </w:rPr>
        <w:t xml:space="preserve">What did the gates ask, and what did I change?</w:t>
      </w:r>
    </w:p>
    <w:p>
      <w:pPr>
        <w:spacing w:after="65" w:line="258"/>
      </w:pPr>
      <w:r>
        <w:rPr>
          <w:rFonts w:ascii="Calibri" w:cs="Calibri" w:eastAsia="Calibri" w:hAnsi="Calibri"/>
          <w:sz w:val="19"/>
          <w:szCs w:val="19"/>
        </w:rPr>
        <w:t xml:space="preserve">Nine questions came back on week 1. Witek's Q2 asked what evidence supported the claim that the current planning system causes extra phone calls. We had written it as fact; it was one contact's account, about a different organisation. It became an explicit hypothesis to be tested at Thuiszorg Totaal.</w:t>
      </w:r>
    </w:p>
    <w:p>
      <w:pPr>
        <w:spacing w:after="65" w:line="258"/>
      </w:pPr>
      <w:r>
        <w:rPr>
          <w:rFonts w:ascii="Calibri" w:cs="Calibri" w:eastAsia="Calibri" w:hAnsi="Calibri"/>
          <w:sz w:val="19"/>
          <w:szCs w:val="19"/>
        </w:rPr>
        <w:t xml:space="preserve">Meike's Q1 and Q5 were the hard ones: STMG has around 1,200 staff against an SME threshold of 250, and she asked whether we had picked it for access rather than fit. She was right on both. I argued against switching at first because we had a working contact there, but the point that our handbook would describe a large organisation's problems as a small firm's held. We moved to Thuiszorg Totaal and kept STMG as the source of the original hypothesis.</w:t>
      </w:r>
    </w:p>
    <w:p>
      <w:pPr>
        <w:spacing w:after="65" w:line="258"/>
      </w:pPr>
      <w:r>
        <w:rPr>
          <w:rFonts w:ascii="Calibri" w:cs="Calibri" w:eastAsia="Calibri" w:hAnsi="Calibri"/>
          <w:sz w:val="19"/>
          <w:szCs w:val="19"/>
        </w:rPr>
        <w:t xml:space="preserve">Witek's Q4 produced the six measurable output criteria that replaced “clear, practical and easy to understand”. I contributed the easy-to-understand test: someone who did not write the chapter reads it once and restates the decision and the first step.</w:t>
      </w:r>
    </w:p>
    <w:p>
      <w:pPr>
        <w:pStyle w:val="Heading2"/>
        <w:spacing w:after="40" w:before="150"/>
      </w:pPr>
      <w:r>
        <w:rPr>
          <w:rFonts w:ascii="Calibri" w:cs="Calibri" w:eastAsia="Calibri" w:hAnsi="Calibri"/>
          <w:b/>
          <w:bCs/>
          <w:sz w:val="20"/>
          <w:szCs w:val="20"/>
        </w:rPr>
        <w:t xml:space="preserve">What did my build role produce?</w:t>
      </w:r>
    </w:p>
    <w:p>
      <w:pPr>
        <w:spacing w:after="65" w:line="258"/>
      </w:pPr>
      <w:r>
        <w:rPr>
          <w:rFonts w:ascii="Calibri" w:cs="Calibri" w:eastAsia="Calibri" w:hAnsi="Calibri"/>
          <w:sz w:val="19"/>
          <w:szCs w:val="19"/>
        </w:rPr>
        <w:t xml:space="preserve">The vendor jurisdiction document with full source appraisal, the first CLI prompts driving Retrieve and Translate against real Dutch sources (KvK, NEN, CBS), and the file-as-contract pattern in the blueprint draft.</w:t>
      </w:r>
    </w:p>
    <w:p>
      <w:pPr>
        <w:spacing w:after="65" w:line="258"/>
      </w:pPr>
      <w:r>
        <w:rPr>
          <w:rFonts w:ascii="Calibri" w:cs="Calibri" w:eastAsia="Calibri" w:hAnsi="Calibri"/>
          <w:sz w:val="19"/>
          <w:szCs w:val="19"/>
        </w:rPr>
        <w:t xml:space="preserve">Failure log: Dutch sector terms retrieved well. Legal material did not. Searches on NEN 7510 scope and Wabvpz obligations returned sources contradicting each other, several consultancy sites claiming the standard is legally mandatory when it is enforced indirectly through the AVG. A person had to resolve it. Automated appraisal is not safe for regulatory claims.</w:t>
      </w:r>
    </w:p>
    <w:p>
      <w:pPr>
        <w:pStyle w:val="Heading1"/>
        <w:spacing w:after="60" w:before="280"/>
      </w:pPr>
      <w:r>
        <w:rPr>
          <w:rFonts w:ascii="Calibri" w:cs="Calibri" w:eastAsia="Calibri" w:hAnsi="Calibri"/>
          <w:b/>
          <w:bCs/>
          <w:sz w:val="24"/>
          <w:szCs w:val="24"/>
        </w:rPr>
        <w:t xml:space="preserve">Week 3: Trust &amp; AI safety</w:t>
      </w:r>
    </w:p>
    <w:p>
      <w:pPr>
        <w:pStyle w:val="Heading2"/>
        <w:spacing w:after="40" w:before="150"/>
      </w:pPr>
      <w:r>
        <w:rPr>
          <w:rFonts w:ascii="Calibri" w:cs="Calibri" w:eastAsia="Calibri" w:hAnsi="Calibri"/>
          <w:b/>
          <w:bCs/>
          <w:sz w:val="20"/>
          <w:szCs w:val="20"/>
        </w:rPr>
        <w:t xml:space="preserve">What did the team publish?</w:t>
      </w:r>
    </w:p>
    <w:p>
      <w:pPr>
        <w:spacing w:after="65" w:line="258"/>
      </w:pPr>
      <w:r>
        <w:rPr>
          <w:rFonts w:ascii="Calibri" w:cs="Calibri" w:eastAsia="Calibri" w:hAnsi="Calibri"/>
          <w:sz w:val="19"/>
          <w:szCs w:val="19"/>
        </w:rPr>
        <w:t xml:space="preserve">Handbook Theme 2 on AI trust and safety, a bilingual interview guide, a revised search-strategy document, and PRD version 0.3. Nikola and I were allocated the first build of our own desk-research agent and the answers to Witek's Socratic questions.</w:t>
      </w:r>
    </w:p>
    <w:p>
      <w:pPr>
        <w:pStyle w:val="Heading2"/>
        <w:spacing w:after="40" w:before="150"/>
      </w:pPr>
      <w:r>
        <w:rPr>
          <w:rFonts w:ascii="Calibri" w:cs="Calibri" w:eastAsia="Calibri" w:hAnsi="Calibri"/>
          <w:b/>
          <w:bCs/>
          <w:sz w:val="20"/>
          <w:szCs w:val="20"/>
        </w:rPr>
        <w:t xml:space="preserve">What did I contribute?</w:t>
      </w:r>
    </w:p>
    <w:p>
      <w:pPr>
        <w:spacing w:after="65" w:line="258"/>
      </w:pPr>
      <w:r>
        <w:rPr>
          <w:rFonts w:ascii="Calibri" w:cs="Calibri" w:eastAsia="Calibri" w:hAnsi="Calibri"/>
          <w:sz w:val="19"/>
          <w:szCs w:val="19"/>
        </w:rPr>
        <w:t xml:space="preserve">The first working version of the desk research agent: a three-stage pipeline (Retrieve, Translate, Appraise) that searches in Dutch and English, keeps the Dutch original beside the English rendering, and scores each source. I then rebuilt it around our own search strategy rather than a generic one: the thirteen search terms, the include/exclude criteria applied before scoring, and the 100-point rubric with the Evidence gate.</w:t>
      </w:r>
    </w:p>
    <w:p>
      <w:pPr>
        <w:spacing w:after="65" w:line="258"/>
      </w:pPr>
      <w:r>
        <w:rPr>
          <w:rFonts w:ascii="Calibri" w:cs="Calibri" w:eastAsia="Calibri" w:hAnsi="Calibri"/>
          <w:sz w:val="19"/>
          <w:szCs w:val="19"/>
        </w:rPr>
        <w:t xml:space="preserve">The Evidence gate was the part worth getting right. A vendor page can score 76 out of 100 on relevance, reliability, recency and context and still prove nothing about whether a product works. The agent shows the five sub-scores separately and marks a source gate-failed when evidence falls under 15 of 30, whatever the total.</w:t>
      </w:r>
    </w:p>
    <w:p>
      <w:pPr>
        <w:pStyle w:val="Heading2"/>
        <w:spacing w:after="40" w:before="150"/>
      </w:pPr>
      <w:r>
        <w:rPr>
          <w:rFonts w:ascii="Calibri" w:cs="Calibri" w:eastAsia="Calibri" w:hAnsi="Calibri"/>
          <w:b/>
          <w:bCs/>
          <w:sz w:val="20"/>
          <w:szCs w:val="20"/>
        </w:rPr>
        <w:t xml:space="preserve">What did the gates ask, and what did I change?</w:t>
      </w:r>
    </w:p>
    <w:p>
      <w:pPr>
        <w:spacing w:after="65" w:line="258"/>
      </w:pPr>
      <w:r>
        <w:rPr>
          <w:rFonts w:ascii="Calibri" w:cs="Calibri" w:eastAsia="Calibri" w:hAnsi="Calibri"/>
          <w:sz w:val="19"/>
          <w:szCs w:val="19"/>
        </w:rPr>
        <w:t xml:space="preserve">Two of Witek's week-2 questions were mine. He asked what capabilities let Appraise and Check outperform a human or a wiki. Answering it honestly forced me to narrow the claim: on any single source a person appraises better, and we had the NEN 7510 contradiction to prove it. What the platform adds is that the same rubric reaches the eighth source as the first, and that the appraisal survives the week. He also asked what metrics at what cadence would track the six criteria, which became a per-page record the Tester keeps.</w:t>
      </w:r>
    </w:p>
    <w:p>
      <w:pPr>
        <w:spacing w:after="65" w:line="258"/>
      </w:pPr>
      <w:r>
        <w:rPr>
          <w:rFonts w:ascii="Calibri" w:cs="Calibri" w:eastAsia="Calibri" w:hAnsi="Calibri"/>
          <w:sz w:val="19"/>
          <w:szCs w:val="19"/>
        </w:rPr>
        <w:t xml:space="preserve">Meike asked where the 0-100 scoring actually runs, since the search-strategy document and the blueprint both used the word “Check”. I had proposed renaming the chapter-level stage to Verify. The team resolved it differently and better: Appraise scores sources, Check holds the finished chapter against the criteria, and nothing is called Check twice.</w:t>
      </w:r>
    </w:p>
    <w:p>
      <w:pPr>
        <w:pStyle w:val="Heading2"/>
        <w:spacing w:after="40" w:before="150"/>
      </w:pPr>
      <w:r>
        <w:rPr>
          <w:rFonts w:ascii="Calibri" w:cs="Calibri" w:eastAsia="Calibri" w:hAnsi="Calibri"/>
          <w:b/>
          <w:bCs/>
          <w:sz w:val="20"/>
          <w:szCs w:val="20"/>
        </w:rPr>
        <w:t xml:space="preserve">What did my build role produce?</w:t>
      </w:r>
    </w:p>
    <w:p>
      <w:pPr>
        <w:spacing w:after="65" w:line="258"/>
      </w:pPr>
      <w:r>
        <w:rPr>
          <w:rFonts w:ascii="Calibri" w:cs="Calibri" w:eastAsia="Calibri" w:hAnsi="Calibri"/>
          <w:sz w:val="19"/>
          <w:szCs w:val="19"/>
        </w:rPr>
        <w:t xml:space="preserve">The desk research agent, published so the team could run it, plus two failure-log entries.</w:t>
      </w:r>
    </w:p>
    <w:p>
      <w:pPr>
        <w:spacing w:after="65" w:line="258"/>
      </w:pPr>
      <w:r>
        <w:rPr>
          <w:rFonts w:ascii="Calibri" w:cs="Calibri" w:eastAsia="Calibri" w:hAnsi="Calibri"/>
          <w:sz w:val="19"/>
          <w:szCs w:val="19"/>
        </w:rPr>
        <w:t xml:space="preserve">First, the agent cannot confirm a source exists, because it has no browsing, so I stopped it inventing URLs and had it return the publisher's real domain plus a search phrase instead. Every link then works, and the researcher does the last step.</w:t>
      </w:r>
    </w:p>
    <w:p>
      <w:pPr>
        <w:spacing w:after="65" w:line="258"/>
      </w:pPr>
      <w:r>
        <w:rPr>
          <w:rFonts w:ascii="Calibri" w:cs="Calibri" w:eastAsia="Calibri" w:hAnsi="Calibri"/>
          <w:sz w:val="19"/>
          <w:szCs w:val="19"/>
        </w:rPr>
        <w:t xml:space="preserve">Second, and more useful: the tool ran for me and would not run for my teammates. Valentina could not open it at all and had to sit with Nikola and me to see it work. The page checked for its permissions 300 ms after loading and disabled itself permanently if they had not arrived, then displayed a message blaming the wrong cause. The real fault was an older runtime pinning, invisible from my side because it worked on my own account. One person testing their own build is not a test, and that is now something we have evidence for rather than a principle we assert.</w:t>
      </w:r>
    </w:p>
    <w:p>
      <w:pPr>
        <w:pStyle w:val="Heading1"/>
        <w:spacing w:after="60" w:before="280"/>
      </w:pPr>
      <w:r>
        <w:rPr>
          <w:rFonts w:ascii="Calibri" w:cs="Calibri" w:eastAsia="Calibri" w:hAnsi="Calibri"/>
          <w:b/>
          <w:bCs/>
          <w:sz w:val="24"/>
          <w:szCs w:val="24"/>
        </w:rPr>
        <w:t xml:space="preserve">Week 4: mini-CBI video</w:t>
      </w:r>
    </w:p>
    <w:p>
      <w:pPr>
        <w:pStyle w:val="Heading2"/>
        <w:spacing w:after="40" w:before="150"/>
      </w:pPr>
      <w:r>
        <w:rPr>
          <w:rFonts w:ascii="Calibri" w:cs="Calibri" w:eastAsia="Calibri" w:hAnsi="Calibri"/>
          <w:b/>
          <w:bCs/>
          <w:sz w:val="20"/>
          <w:szCs w:val="20"/>
        </w:rPr>
        <w:t xml:space="preserve">What did the team publish?</w:t>
      </w:r>
    </w:p>
    <w:p>
      <w:pPr>
        <w:spacing w:after="65" w:line="258"/>
      </w:pPr>
      <w:r>
        <w:rPr>
          <w:rFonts w:ascii="Calibri" w:cs="Calibri" w:eastAsia="Calibri" w:hAnsi="Calibri"/>
          <w:sz w:val="19"/>
          <w:szCs w:val="19"/>
        </w:rPr>
        <w:t xml:space="preserve">No new handbook page. Anisah was away from Saturday to Wednesday, and we had agreed with both lecturers in advance to submit a fifteen-minute video in place of the scheduled mini-CBI session. The video answered a selection of the Socratic questions from the previous weeks and included a live demonstration of the research platform. Valentina took day-to-day coordination for the week.</w:t>
      </w:r>
    </w:p>
    <w:p>
      <w:pPr>
        <w:pStyle w:val="Heading2"/>
        <w:spacing w:after="40" w:before="150"/>
      </w:pPr>
      <w:r>
        <w:rPr>
          <w:rFonts w:ascii="Calibri" w:cs="Calibri" w:eastAsia="Calibri" w:hAnsi="Calibri"/>
          <w:b/>
          <w:bCs/>
          <w:sz w:val="20"/>
          <w:szCs w:val="20"/>
        </w:rPr>
        <w:t xml:space="preserve">What did I contribute?</w:t>
      </w:r>
    </w:p>
    <w:p>
      <w:pPr>
        <w:spacing w:after="65" w:line="258"/>
      </w:pPr>
      <w:r>
        <w:rPr>
          <w:rFonts w:ascii="Calibri" w:cs="Calibri" w:eastAsia="Calibri" w:hAnsi="Calibri"/>
          <w:sz w:val="19"/>
          <w:szCs w:val="19"/>
        </w:rPr>
        <w:t xml:space="preserve">My segment covered the platform and the live demonstration of the agent, answering three of the Socratic questions.</w:t>
      </w:r>
    </w:p>
    <w:p>
      <w:pPr>
        <w:spacing w:after="65" w:line="258"/>
      </w:pPr>
      <w:r>
        <w:rPr>
          <w:rFonts w:ascii="Calibri" w:cs="Calibri" w:eastAsia="Calibri" w:hAnsi="Calibri"/>
          <w:sz w:val="19"/>
          <w:szCs w:val="19"/>
        </w:rPr>
        <w:t xml:space="preserve">On what the agent can do in scoring sources that a person cannot, I opened by conceding rather than defending: on any single source a person appraises better, and we had the contradictory NEN 7510 results to prove it. What the agent adds is three things, none of them intelligence: it searches Dutch and English in one pass, so our research stops depending on which of us reads Dutch; it scores the eighth source the way it scored the first; and it runs the same whoever starts it. The gain is reproducibility, not intelligence.</w:t>
      </w:r>
    </w:p>
    <w:p>
      <w:pPr>
        <w:spacing w:after="65" w:line="258"/>
      </w:pPr>
      <w:r>
        <w:rPr>
          <w:rFonts w:ascii="Calibri" w:cs="Calibri" w:eastAsia="Calibri" w:hAnsi="Calibri"/>
          <w:sz w:val="19"/>
          <w:szCs w:val="19"/>
        </w:rPr>
        <w:t xml:space="preserve">On where the 0-100 scoring runs: in Appraise. Appraise scores sources, Check holds a finished chapter against the criteria, and Check never sees a source. I said on camera that this was a naming collision and that Check should be renamed Verify. The team had already resolved it differently and better, keeping Check for the chapter level, and when Verify did appear in Blueprint v2.0 it named a new step where a person opens every source. My proposal was not what we built, and I would answer that question with the blueprint’s version now.</w:t>
      </w:r>
    </w:p>
    <w:p>
      <w:pPr>
        <w:spacing w:after="65" w:line="258"/>
      </w:pPr>
      <w:r>
        <w:rPr>
          <w:rFonts w:ascii="Calibri" w:cs="Calibri" w:eastAsia="Calibri" w:hAnsi="Calibri"/>
          <w:sz w:val="19"/>
          <w:szCs w:val="19"/>
        </w:rPr>
        <w:t xml:space="preserve">On how we track quality: every chapter before it goes out, so weekly, with Valentina checking and Anisah signing off. The measures are countable: no claim from a source that failed the Evidence gate, no unexplained acronyms. The exception is the read-back, where someone who did not write the chapter reads it once and has to say what the decision is and what to do first. I ended on the gap rather than hiding it: we had no calibration, no evidence the agent’s scores agreed with ours, and until that existed a person read everything.</w:t>
      </w:r>
    </w:p>
    <w:p>
      <w:pPr>
        <w:pStyle w:val="Heading2"/>
        <w:spacing w:after="40" w:before="150"/>
      </w:pPr>
      <w:r>
        <w:rPr>
          <w:rFonts w:ascii="Calibri" w:cs="Calibri" w:eastAsia="Calibri" w:hAnsi="Calibri"/>
          <w:b/>
          <w:bCs/>
          <w:sz w:val="20"/>
          <w:szCs w:val="20"/>
        </w:rPr>
        <w:t xml:space="preserve">What did the gates ask, and what did I change?</w:t>
      </w:r>
    </w:p>
    <w:p>
      <w:pPr>
        <w:spacing w:after="65" w:line="258"/>
      </w:pPr>
      <w:r>
        <w:rPr>
          <w:rFonts w:ascii="Calibri" w:cs="Calibri" w:eastAsia="Calibri" w:hAnsi="Calibri"/>
          <w:sz w:val="19"/>
          <w:szCs w:val="19"/>
        </w:rPr>
        <w:t xml:space="preserve">No written feedback came back on the video itself. The feedback that did arrive concerned the week-3 interview guide: Meike judged three of her four criteria as needing work and asked for five specific additions, and our partner team's round-three peer review flagged gaps on client-data handling and on last-minute appointment changes. Because the guide had already been handed in with week 3 and the visit had not happened, we treated these as confirmed additions to make before the interview rather than as a revision to republish.</w:t>
      </w:r>
    </w:p>
    <w:p>
      <w:pPr>
        <w:pStyle w:val="Heading2"/>
        <w:spacing w:after="40" w:before="150"/>
      </w:pPr>
      <w:r>
        <w:rPr>
          <w:rFonts w:ascii="Calibri" w:cs="Calibri" w:eastAsia="Calibri" w:hAnsi="Calibri"/>
          <w:b/>
          <w:bCs/>
          <w:sz w:val="20"/>
          <w:szCs w:val="20"/>
        </w:rPr>
        <w:t xml:space="preserve">What did my build role produce?</w:t>
      </w:r>
    </w:p>
    <w:p>
      <w:pPr>
        <w:spacing w:after="65" w:line="258"/>
      </w:pPr>
      <w:r>
        <w:rPr>
          <w:rFonts w:ascii="Calibri" w:cs="Calibri" w:eastAsia="Calibri" w:hAnsi="Calibri"/>
          <w:sz w:val="19"/>
          <w:szCs w:val="19"/>
        </w:rPr>
        <w:t xml:space="preserve">The demonstration build, and the spoken answers to the platform questions. Preparing to explain the agent on camera was itself a check on it: a part I could not describe in one sentence was a part that was not doing one job.</w:t>
      </w:r>
    </w:p>
    <w:p>
      <w:pPr>
        <w:pStyle w:val="Heading1"/>
        <w:spacing w:after="60" w:before="280"/>
      </w:pPr>
      <w:r>
        <w:rPr>
          <w:rFonts w:ascii="Calibri" w:cs="Calibri" w:eastAsia="Calibri" w:hAnsi="Calibri"/>
          <w:b/>
          <w:bCs/>
          <w:sz w:val="24"/>
          <w:szCs w:val="24"/>
        </w:rPr>
        <w:t xml:space="preserve">Week 5: SME knowledge gaps / AI use cases at SMEs</w:t>
      </w:r>
    </w:p>
    <w:p>
      <w:pPr>
        <w:pStyle w:val="Heading2"/>
        <w:spacing w:after="40" w:before="150"/>
      </w:pPr>
      <w:r>
        <w:rPr>
          <w:rFonts w:ascii="Calibri" w:cs="Calibri" w:eastAsia="Calibri" w:hAnsi="Calibri"/>
          <w:b/>
          <w:bCs/>
          <w:sz w:val="20"/>
          <w:szCs w:val="20"/>
        </w:rPr>
        <w:t xml:space="preserve">What did the team publish?</w:t>
      </w:r>
    </w:p>
    <w:p>
      <w:pPr>
        <w:spacing w:after="65" w:line="258"/>
      </w:pPr>
      <w:r>
        <w:rPr>
          <w:rFonts w:ascii="Calibri" w:cs="Calibri" w:eastAsia="Calibri" w:hAnsi="Calibri"/>
          <w:sz w:val="19"/>
          <w:szCs w:val="19"/>
        </w:rPr>
        <w:t xml:space="preserve">Two handbook chapters: Theme 3 on SME knowledge gaps and Theme 4 on what firms actually use AI for. In class we surveyed regional front-runners and produced a 2035 scenario postcard. Anisah put Nikola and me on building the LLM wiki for the project.</w:t>
      </w:r>
    </w:p>
    <w:p>
      <w:pPr>
        <w:pStyle w:val="Heading2"/>
        <w:spacing w:after="40" w:before="150"/>
      </w:pPr>
      <w:r>
        <w:rPr>
          <w:rFonts w:ascii="Calibri" w:cs="Calibri" w:eastAsia="Calibri" w:hAnsi="Calibri"/>
          <w:b/>
          <w:bCs/>
          <w:sz w:val="20"/>
          <w:szCs w:val="20"/>
        </w:rPr>
        <w:t xml:space="preserve">What did I contribute?</w:t>
      </w:r>
    </w:p>
    <w:p>
      <w:pPr>
        <w:spacing w:after="65" w:line="258"/>
      </w:pPr>
      <w:r>
        <w:rPr>
          <w:rFonts w:ascii="Calibri" w:cs="Calibri" w:eastAsia="Calibri" w:hAnsi="Calibri"/>
          <w:sz w:val="19"/>
          <w:szCs w:val="19"/>
        </w:rPr>
        <w:t xml:space="preserve">I set the wiki up from the course template and configured it for the team. The schema layer is explicitly ours to own, so I put our own 100-point rubric into each source's frontmatter, with the Evidence gate outranking the total and capping any concept page resting on a failed source at confidence 0.75. I added the Dutch-source rule: raw files stay in Dutch and untranslated, wiki pages are written in English, and a quotation must be the Dutch original, because the lint script checks it against the raw file character by character. Translate a quote and lint fails, correctly.</w:t>
      </w:r>
    </w:p>
    <w:p>
      <w:pPr>
        <w:spacing w:after="65" w:line="258"/>
      </w:pPr>
      <w:r>
        <w:rPr>
          <w:rFonts w:ascii="Calibri" w:cs="Calibri" w:eastAsia="Calibri" w:hAnsi="Calibri"/>
          <w:sz w:val="19"/>
          <w:szCs w:val="19"/>
        </w:rPr>
        <w:t xml:space="preserve">I did one real ingest, Karpathy's own gist describing the pattern, and scored it honestly at 57 out of 100 with the Evidence gate failed, because it is an idea file with no study behind it. The first thing our rubric did was mark down the document that justifies the whole approach. I also verified the quote check works by rewording a quotation slightly and confirming lint caught it, then restoring it. A check nobody has tested is not a check.</w:t>
      </w:r>
    </w:p>
    <w:p>
      <w:pPr>
        <w:pStyle w:val="Heading2"/>
        <w:spacing w:after="40" w:before="150"/>
      </w:pPr>
      <w:r>
        <w:rPr>
          <w:rFonts w:ascii="Calibri" w:cs="Calibri" w:eastAsia="Calibri" w:hAnsi="Calibri"/>
          <w:b/>
          <w:bCs/>
          <w:sz w:val="20"/>
          <w:szCs w:val="20"/>
        </w:rPr>
        <w:t xml:space="preserve">What did the gates ask, and what did I change?</w:t>
      </w:r>
    </w:p>
    <w:p>
      <w:pPr>
        <w:spacing w:after="65" w:line="258"/>
      </w:pPr>
      <w:r>
        <w:rPr>
          <w:rFonts w:ascii="Calibri" w:cs="Calibri" w:eastAsia="Calibri" w:hAnsi="Calibri"/>
          <w:sz w:val="19"/>
          <w:szCs w:val="19"/>
        </w:rPr>
        <w:t xml:space="preserve">No written feedback on the week-4 video had been received by this point, and none on the two chapters either. The questions I was still carrying were the week-2 ones answered above.</w:t>
      </w:r>
    </w:p>
    <w:p>
      <w:pPr>
        <w:pStyle w:val="Heading2"/>
        <w:spacing w:after="40" w:before="150"/>
      </w:pPr>
      <w:r>
        <w:rPr>
          <w:rFonts w:ascii="Calibri" w:cs="Calibri" w:eastAsia="Calibri" w:hAnsi="Calibri"/>
          <w:b/>
          <w:bCs/>
          <w:sz w:val="20"/>
          <w:szCs w:val="20"/>
        </w:rPr>
        <w:t xml:space="preserve">What did my build role produce?</w:t>
      </w:r>
    </w:p>
    <w:p>
      <w:pPr>
        <w:spacing w:after="65" w:line="258"/>
      </w:pPr>
      <w:r>
        <w:rPr>
          <w:rFonts w:ascii="Calibri" w:cs="Calibri" w:eastAsia="Calibri" w:hAnsi="Calibri"/>
          <w:sz w:val="19"/>
          <w:szCs w:val="19"/>
        </w:rPr>
        <w:t xml:space="preserve">The configured wiki, committed with its history: the schema change logged as a decision, the first source ingested and scored, and an ingest queue for the sources still to be fetched. Running a query against it produced the honest answer rather than the convenient one: the wiki holds one source, which fails the Evidence gate, so it cannot yet support a single claim in our chapters. I filed that as a synthesis with the gap stated plainly rather than leaving it to be discovered.</w:t>
      </w:r>
    </w:p>
    <w:p>
      <w:pPr>
        <w:pStyle w:val="Heading1"/>
        <w:spacing w:after="60" w:before="280"/>
      </w:pPr>
      <w:r>
        <w:rPr>
          <w:rFonts w:ascii="Calibri" w:cs="Calibri" w:eastAsia="Calibri" w:hAnsi="Calibri"/>
          <w:b/>
          <w:bCs/>
          <w:sz w:val="24"/>
          <w:szCs w:val="24"/>
        </w:rPr>
        <w:t xml:space="preserve">Week 6: toward the final hand-in</w:t>
      </w:r>
    </w:p>
    <w:p>
      <w:pPr>
        <w:pStyle w:val="Heading2"/>
        <w:spacing w:after="40" w:before="150"/>
      </w:pPr>
      <w:r>
        <w:rPr>
          <w:rFonts w:ascii="Calibri" w:cs="Calibri" w:eastAsia="Calibri" w:hAnsi="Calibri"/>
          <w:b/>
          <w:bCs/>
          <w:sz w:val="20"/>
          <w:szCs w:val="20"/>
        </w:rPr>
        <w:t xml:space="preserve">What did the team publish?</w:t>
      </w:r>
    </w:p>
    <w:p>
      <w:pPr>
        <w:spacing w:after="65" w:line="258"/>
      </w:pPr>
      <w:r>
        <w:rPr>
          <w:rFonts w:ascii="Calibri" w:cs="Calibri" w:eastAsia="Calibri" w:hAnsi="Calibri"/>
          <w:sz w:val="19"/>
          <w:szCs w:val="19"/>
        </w:rPr>
        <w:t xml:space="preserve">No new handbook page. We agreed one shared GitHub repository for the final submission, holding the consolidated handbook chapters, the interview transcript if the visit happens, and each member's portfolio, with everyone submitting the same link. We also rebuilt the LLM wiki in class and issued PRD v1.0 and Technical Blueprint v2.0, both dated 21 October.</w:t>
      </w:r>
    </w:p>
    <w:p>
      <w:pPr>
        <w:pStyle w:val="Heading2"/>
        <w:spacing w:after="40" w:before="150"/>
      </w:pPr>
      <w:r>
        <w:rPr>
          <w:rFonts w:ascii="Calibri" w:cs="Calibri" w:eastAsia="Calibri" w:hAnsi="Calibri"/>
          <w:b/>
          <w:bCs/>
          <w:sz w:val="20"/>
          <w:szCs w:val="20"/>
        </w:rPr>
        <w:t xml:space="preserve">What did I contribute?</w:t>
      </w:r>
    </w:p>
    <w:p>
      <w:pPr>
        <w:spacing w:after="65" w:line="258"/>
      </w:pPr>
      <w:r>
        <w:rPr>
          <w:rFonts w:ascii="Calibri" w:cs="Calibri" w:eastAsia="Calibri" w:hAnsi="Calibri"/>
          <w:sz w:val="19"/>
          <w:szCs w:val="19"/>
        </w:rPr>
        <w:t xml:space="preserve">Blueprint v2.0, with Nikola. We split it the other way round from week 2: I did most of the initial draft back then, he led this rewrite. It describes the platform as built rather than as planned: ten parts with who does each, named failure limits, every outbound flow, and the option we rejected for each decision.</w:t>
      </w:r>
    </w:p>
    <w:p>
      <w:pPr>
        <w:spacing w:after="65" w:line="258"/>
      </w:pPr>
      <w:r>
        <w:rPr>
          <w:rFonts w:ascii="Calibri" w:cs="Calibri" w:eastAsia="Calibri" w:hAnsi="Calibri"/>
          <w:sz w:val="19"/>
          <w:szCs w:val="19"/>
        </w:rPr>
        <w:t xml:space="preserve">I set up the initial repository and explained to Anisah how to create and structure repositories on GitHub. She ran the consolidation herself after that. I also worked on rebuilding the wiki in class.</w:t>
      </w:r>
    </w:p>
    <w:p>
      <w:pPr>
        <w:spacing w:after="65" w:line="258"/>
      </w:pPr>
      <w:r>
        <w:rPr>
          <w:rFonts w:ascii="Calibri" w:cs="Calibri" w:eastAsia="Calibri" w:hAnsi="Calibri"/>
          <w:sz w:val="19"/>
          <w:szCs w:val="19"/>
        </w:rPr>
        <w:t xml:space="preserve">My written framing for the team’s Judgement opening pitch is in progress at the time of writing.</w:t>
      </w:r>
    </w:p>
    <w:p>
      <w:pPr>
        <w:pStyle w:val="Heading2"/>
        <w:spacing w:after="40" w:before="150"/>
      </w:pPr>
      <w:r>
        <w:rPr>
          <w:rFonts w:ascii="Calibri" w:cs="Calibri" w:eastAsia="Calibri" w:hAnsi="Calibri"/>
          <w:b/>
          <w:bCs/>
          <w:sz w:val="20"/>
          <w:szCs w:val="20"/>
        </w:rPr>
        <w:t xml:space="preserve">What did the gates ask, and what did I change?</w:t>
      </w:r>
    </w:p>
    <w:p>
      <w:pPr>
        <w:spacing w:after="65" w:line="258"/>
      </w:pPr>
      <w:r>
        <w:rPr>
          <w:rFonts w:ascii="Calibri" w:cs="Calibri" w:eastAsia="Calibri" w:hAnsi="Calibri"/>
          <w:sz w:val="19"/>
          <w:szCs w:val="19"/>
        </w:rPr>
        <w:t xml:space="preserve">No written feedback had been received on the week-4 video or the week-5 chapters. What changed this week came from reading our own documents against each other rather than from a gate. Checking PRD v1.0 beside the blueprint turned up three things: the quality criteria had gone from six to four without the change propagating to our other material, one blueprint still carried a date assertion from 6 October inside a document dated the 21st, and two blueprint files were circulating with the same version number. All three are the kind of inconsistency the tutor looks for when it reads our documents side by side. The criteria point lands on me directly: I said “six criteria” on camera in week 4, which was right then and is not right now.</w:t>
      </w:r>
    </w:p>
    <w:p>
      <w:pPr>
        <w:pStyle w:val="Heading2"/>
        <w:spacing w:after="40" w:before="150"/>
      </w:pPr>
      <w:r>
        <w:rPr>
          <w:rFonts w:ascii="Calibri" w:cs="Calibri" w:eastAsia="Calibri" w:hAnsi="Calibri"/>
          <w:b/>
          <w:bCs/>
          <w:sz w:val="20"/>
          <w:szCs w:val="20"/>
        </w:rPr>
        <w:t xml:space="preserve">What did my build role produce?</w:t>
      </w:r>
    </w:p>
    <w:p>
      <w:pPr>
        <w:spacing w:after="65" w:line="258"/>
      </w:pPr>
      <w:r>
        <w:rPr>
          <w:rFonts w:ascii="Calibri" w:cs="Calibri" w:eastAsia="Calibri" w:hAnsi="Calibri"/>
          <w:sz w:val="19"/>
          <w:szCs w:val="19"/>
        </w:rPr>
        <w:t xml:space="preserve">Blueprint v2.0 with Nikola, the wiki rebuild, and the coherence check across the final document set. The last of those was the most useful thing I did this week: the platform was finished, and what remained was making sure the documents describing it agreed with each other and with what it actually does.</w:t>
      </w:r>
    </w:p>
    <w:sectPr>
      <w:pgSz w:w="11906" w:h="16838" w:orient="portrait"/>
      <w:pgMar w:top="850" w:right="11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2026-10-21T20:24:12.620Z</dcterms:created>
  <dcterms:modified xsi:type="dcterms:W3CDTF">2026-10-21T20:24:12.620Z</dcterms:modified>
</cp:coreProperties>
</file>

<file path=docProps/custom.xml><?xml version="1.0" encoding="utf-8"?>
<Properties xmlns="http://schemas.openxmlformats.org/officeDocument/2006/custom-properties" xmlns:vt="http://schemas.openxmlformats.org/officeDocument/2006/docPropsVTypes"/>
</file>