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6629" w14:textId="77777777" w:rsidR="00906F76" w:rsidRPr="0012752D" w:rsidRDefault="00000000" w:rsidP="003C32F8">
      <w:pPr>
        <w:pStyle w:val="Heading2"/>
        <w:jc w:val="both"/>
        <w:rPr>
          <w:rFonts w:ascii="Helvetica" w:hAnsi="Helvetica"/>
          <w:color w:val="000000" w:themeColor="text1"/>
        </w:rPr>
      </w:pPr>
      <w:bookmarkStart w:id="0" w:name="severity"/>
      <w:r w:rsidRPr="0012752D">
        <w:rPr>
          <w:rFonts w:ascii="Helvetica" w:hAnsi="Helvetica"/>
          <w:color w:val="000000" w:themeColor="text1"/>
        </w:rPr>
        <w:t>2. Severity</w:t>
      </w:r>
    </w:p>
    <w:p w14:paraId="7D40D8E1" w14:textId="77777777" w:rsidR="00906F76" w:rsidRPr="0012752D" w:rsidRDefault="00000000" w:rsidP="003C32F8">
      <w:pPr>
        <w:pStyle w:val="FirstParagraph"/>
        <w:jc w:val="both"/>
        <w:rPr>
          <w:rFonts w:ascii="Helvetica" w:hAnsi="Helvetica"/>
          <w:color w:val="000000" w:themeColor="text1"/>
        </w:rPr>
      </w:pPr>
      <w:r w:rsidRPr="0012752D">
        <w:rPr>
          <w:rFonts w:ascii="Helvetica" w:hAnsi="Helvetica"/>
          <w:color w:val="000000" w:themeColor="text1"/>
        </w:rPr>
        <w:t>The severity of acute respiratory infections are measured as cases that are hospitalised, admitted to intensive care, or have died. Measuring and understanding severity quantifies the most significant health impacts of circulating respiratory viruses.</w:t>
      </w:r>
    </w:p>
    <w:p w14:paraId="3BCD3376" w14:textId="77777777" w:rsidR="00906F76" w:rsidRPr="0012752D" w:rsidRDefault="00000000" w:rsidP="003C32F8">
      <w:pPr>
        <w:pStyle w:val="Heading3"/>
        <w:jc w:val="both"/>
        <w:rPr>
          <w:rFonts w:ascii="Helvetica" w:hAnsi="Helvetica"/>
          <w:color w:val="000000" w:themeColor="text1"/>
        </w:rPr>
      </w:pPr>
      <w:bookmarkStart w:id="1" w:name="hospital-based-surveillance"/>
      <w:r w:rsidRPr="0012752D">
        <w:rPr>
          <w:rFonts w:ascii="Helvetica" w:hAnsi="Helvetica"/>
          <w:color w:val="000000" w:themeColor="text1"/>
        </w:rPr>
        <w:t>2.1. Hospital-based surveillance</w:t>
      </w:r>
    </w:p>
    <w:p w14:paraId="4A3C1C25" w14:textId="77777777" w:rsidR="00906F76" w:rsidRPr="0012752D" w:rsidRDefault="00000000" w:rsidP="003C32F8">
      <w:pPr>
        <w:pStyle w:val="Heading4"/>
        <w:jc w:val="both"/>
        <w:rPr>
          <w:rFonts w:ascii="Helvetica" w:hAnsi="Helvetica"/>
          <w:color w:val="000000" w:themeColor="text1"/>
        </w:rPr>
      </w:pPr>
      <w:bookmarkStart w:id="2" w:name="sprint-sari-australia"/>
      <w:r w:rsidRPr="0012752D">
        <w:rPr>
          <w:rFonts w:ascii="Helvetica" w:hAnsi="Helvetica"/>
          <w:color w:val="000000" w:themeColor="text1"/>
        </w:rPr>
        <w:t>SPRINT-SARI Australia</w:t>
      </w:r>
    </w:p>
    <w:p w14:paraId="7F108EF4" w14:textId="77777777" w:rsidR="00906F76" w:rsidRPr="0012752D" w:rsidRDefault="00000000" w:rsidP="003C32F8">
      <w:pPr>
        <w:pStyle w:val="Compact"/>
        <w:numPr>
          <w:ilvl w:val="0"/>
          <w:numId w:val="2"/>
        </w:numPr>
        <w:jc w:val="both"/>
        <w:rPr>
          <w:rFonts w:ascii="Helvetica" w:hAnsi="Helvetica"/>
          <w:color w:val="000000" w:themeColor="text1"/>
        </w:rPr>
      </w:pPr>
      <w:r w:rsidRPr="0012752D">
        <w:rPr>
          <w:rFonts w:ascii="Helvetica" w:hAnsi="Helvetica"/>
          <w:color w:val="000000" w:themeColor="text1"/>
        </w:rPr>
        <w:t>In this period for severity reporting (20-05-2024 to 16-06-2024), there have been 205 SARI patients admitted to a participating SPRINT-SARI intensive care. COVID-19 accounted for the highest proportion of SARI patients admitted to a participating SPRINT-SARI intensive care.</w:t>
      </w:r>
    </w:p>
    <w:p w14:paraId="39492CD7" w14:textId="55545555" w:rsidR="00906F76" w:rsidRPr="0012752D" w:rsidRDefault="00000000" w:rsidP="003C32F8">
      <w:pPr>
        <w:pStyle w:val="Compact"/>
        <w:numPr>
          <w:ilvl w:val="0"/>
          <w:numId w:val="2"/>
        </w:numPr>
        <w:jc w:val="both"/>
        <w:rPr>
          <w:rFonts w:ascii="Helvetica" w:hAnsi="Helvetica"/>
          <w:color w:val="000000" w:themeColor="text1"/>
        </w:rPr>
      </w:pPr>
      <w:r w:rsidRPr="0012752D">
        <w:rPr>
          <w:rFonts w:ascii="Helvetica" w:hAnsi="Helvetica"/>
          <w:color w:val="000000" w:themeColor="text1"/>
        </w:rPr>
        <w:t>In the year to date for severity reporting (01-01-2024 to 16-06-2024), there have bee</w:t>
      </w:r>
      <w:r w:rsidR="0012752D">
        <w:rPr>
          <w:rFonts w:ascii="Helvetica" w:hAnsi="Helvetica"/>
          <w:color w:val="000000" w:themeColor="text1"/>
        </w:rPr>
        <w:t>n</w:t>
      </w:r>
      <w:r w:rsidRPr="0012752D">
        <w:rPr>
          <w:rFonts w:ascii="Helvetica" w:hAnsi="Helvetica"/>
          <w:color w:val="000000" w:themeColor="text1"/>
        </w:rPr>
        <w:t xml:space="preserve"> 1096 patients with SARI admitted to a participating SPRINT-SARI intensive care. This includes:</w:t>
      </w:r>
    </w:p>
    <w:p w14:paraId="4749F3DF" w14:textId="51A1B9F0" w:rsidR="00906F76" w:rsidRPr="0012752D" w:rsidRDefault="00000000" w:rsidP="003C32F8">
      <w:pPr>
        <w:pStyle w:val="Compact"/>
        <w:numPr>
          <w:ilvl w:val="1"/>
          <w:numId w:val="3"/>
        </w:numPr>
        <w:jc w:val="both"/>
        <w:rPr>
          <w:rFonts w:ascii="Helvetica" w:hAnsi="Helvetica"/>
          <w:color w:val="000000" w:themeColor="text1"/>
        </w:rPr>
      </w:pPr>
      <w:r w:rsidRPr="0012752D">
        <w:rPr>
          <w:rFonts w:ascii="Helvetica" w:hAnsi="Helvetica"/>
          <w:color w:val="000000" w:themeColor="text1"/>
        </w:rPr>
        <w:t>53.</w:t>
      </w:r>
      <w:r w:rsidR="003C32F8" w:rsidRPr="0012752D">
        <w:rPr>
          <w:rFonts w:ascii="Helvetica" w:hAnsi="Helvetica"/>
          <w:color w:val="000000" w:themeColor="text1"/>
        </w:rPr>
        <w:t>2</w:t>
      </w:r>
      <w:r w:rsidRPr="0012752D">
        <w:rPr>
          <w:rFonts w:ascii="Helvetica" w:hAnsi="Helvetica"/>
          <w:color w:val="000000" w:themeColor="text1"/>
        </w:rPr>
        <w:t>% (583/1096) patients with COVID-19,</w:t>
      </w:r>
    </w:p>
    <w:p w14:paraId="7B1D7B97" w14:textId="0D2A9773" w:rsidR="00906F76" w:rsidRPr="0012752D" w:rsidRDefault="00000000" w:rsidP="003C32F8">
      <w:pPr>
        <w:pStyle w:val="Compact"/>
        <w:numPr>
          <w:ilvl w:val="1"/>
          <w:numId w:val="3"/>
        </w:numPr>
        <w:jc w:val="both"/>
        <w:rPr>
          <w:rFonts w:ascii="Helvetica" w:hAnsi="Helvetica"/>
          <w:color w:val="000000" w:themeColor="text1"/>
        </w:rPr>
      </w:pPr>
      <w:r w:rsidRPr="0012752D">
        <w:rPr>
          <w:rFonts w:ascii="Helvetica" w:hAnsi="Helvetica"/>
          <w:color w:val="000000" w:themeColor="text1"/>
        </w:rPr>
        <w:t>16.</w:t>
      </w:r>
      <w:r w:rsidR="003C32F8" w:rsidRPr="0012752D">
        <w:rPr>
          <w:rFonts w:ascii="Helvetica" w:hAnsi="Helvetica"/>
          <w:color w:val="000000" w:themeColor="text1"/>
        </w:rPr>
        <w:t>1</w:t>
      </w:r>
      <w:r w:rsidRPr="0012752D">
        <w:rPr>
          <w:rFonts w:ascii="Helvetica" w:hAnsi="Helvetica"/>
          <w:color w:val="000000" w:themeColor="text1"/>
        </w:rPr>
        <w:t>% (176/1096) patients with influenza,</w:t>
      </w:r>
    </w:p>
    <w:p w14:paraId="351B37EF" w14:textId="3600DDE3" w:rsidR="00906F76" w:rsidRPr="0012752D" w:rsidRDefault="00000000" w:rsidP="003C32F8">
      <w:pPr>
        <w:pStyle w:val="Compact"/>
        <w:numPr>
          <w:ilvl w:val="1"/>
          <w:numId w:val="3"/>
        </w:numPr>
        <w:jc w:val="both"/>
        <w:rPr>
          <w:rFonts w:ascii="Helvetica" w:hAnsi="Helvetica"/>
          <w:color w:val="000000" w:themeColor="text1"/>
        </w:rPr>
      </w:pPr>
      <w:r w:rsidRPr="0012752D">
        <w:rPr>
          <w:rFonts w:ascii="Helvetica" w:hAnsi="Helvetica"/>
          <w:color w:val="000000" w:themeColor="text1"/>
        </w:rPr>
        <w:t>14.2% (156/1096) patients with RSV, and</w:t>
      </w:r>
    </w:p>
    <w:p w14:paraId="703D8AD6" w14:textId="1F5A76E5" w:rsidR="00906F76" w:rsidRPr="0012752D" w:rsidRDefault="00000000" w:rsidP="003C32F8">
      <w:pPr>
        <w:pStyle w:val="Compact"/>
        <w:numPr>
          <w:ilvl w:val="1"/>
          <w:numId w:val="3"/>
        </w:numPr>
        <w:jc w:val="both"/>
        <w:rPr>
          <w:rFonts w:ascii="Helvetica" w:hAnsi="Helvetica"/>
          <w:color w:val="000000" w:themeColor="text1"/>
        </w:rPr>
      </w:pPr>
      <w:r w:rsidRPr="0012752D">
        <w:rPr>
          <w:rFonts w:ascii="Helvetica" w:hAnsi="Helvetica"/>
          <w:color w:val="000000" w:themeColor="text1"/>
        </w:rPr>
        <w:t>1</w:t>
      </w:r>
      <w:r w:rsidR="003C32F8" w:rsidRPr="0012752D">
        <w:rPr>
          <w:rFonts w:ascii="Helvetica" w:hAnsi="Helvetica"/>
          <w:color w:val="000000" w:themeColor="text1"/>
        </w:rPr>
        <w:t>9</w:t>
      </w:r>
      <w:r w:rsidRPr="0012752D">
        <w:rPr>
          <w:rFonts w:ascii="Helvetica" w:hAnsi="Helvetica"/>
          <w:color w:val="000000" w:themeColor="text1"/>
        </w:rPr>
        <w:t>.</w:t>
      </w:r>
      <w:r w:rsidR="003C32F8" w:rsidRPr="0012752D">
        <w:rPr>
          <w:rFonts w:ascii="Helvetica" w:hAnsi="Helvetica"/>
          <w:color w:val="000000" w:themeColor="text1"/>
        </w:rPr>
        <w:t>0</w:t>
      </w:r>
      <w:r w:rsidRPr="0012752D">
        <w:rPr>
          <w:rFonts w:ascii="Helvetica" w:hAnsi="Helvetica"/>
          <w:color w:val="000000" w:themeColor="text1"/>
        </w:rPr>
        <w:t>% (208/1096) patients with other respiratory pathogens</w:t>
      </w:r>
      <w:r w:rsidR="0012752D">
        <w:rPr>
          <w:rFonts w:ascii="Helvetica" w:hAnsi="Helvetica"/>
          <w:color w:val="000000" w:themeColor="text1"/>
        </w:rPr>
        <w:t>,</w:t>
      </w:r>
      <w:r w:rsidRPr="0012752D">
        <w:rPr>
          <w:rFonts w:ascii="Helvetica" w:hAnsi="Helvetica"/>
          <w:color w:val="000000" w:themeColor="text1"/>
        </w:rPr>
        <w:t xml:space="preserve"> including parainfluenza and rhinovirus.</w:t>
      </w:r>
    </w:p>
    <w:p w14:paraId="04042ABB" w14:textId="2DDD1544" w:rsidR="00906F76" w:rsidRPr="0012752D" w:rsidRDefault="00000000" w:rsidP="003C32F8">
      <w:pPr>
        <w:pStyle w:val="Compact"/>
        <w:numPr>
          <w:ilvl w:val="1"/>
          <w:numId w:val="3"/>
        </w:numPr>
        <w:jc w:val="both"/>
        <w:rPr>
          <w:rFonts w:ascii="Helvetica" w:hAnsi="Helvetica"/>
          <w:color w:val="000000" w:themeColor="text1"/>
        </w:rPr>
      </w:pPr>
      <w:r w:rsidRPr="0012752D">
        <w:rPr>
          <w:rFonts w:ascii="Helvetica" w:hAnsi="Helvetica"/>
          <w:color w:val="000000" w:themeColor="text1"/>
        </w:rPr>
        <w:t>2.</w:t>
      </w:r>
      <w:r w:rsidR="003C32F8" w:rsidRPr="0012752D">
        <w:rPr>
          <w:rFonts w:ascii="Helvetica" w:hAnsi="Helvetica"/>
          <w:color w:val="000000" w:themeColor="text1"/>
        </w:rPr>
        <w:t>4</w:t>
      </w:r>
      <w:r w:rsidRPr="0012752D">
        <w:rPr>
          <w:rFonts w:ascii="Helvetica" w:hAnsi="Helvetica"/>
          <w:color w:val="000000" w:themeColor="text1"/>
        </w:rPr>
        <w:t>% (26/1096) patients had co-infections of multiple pathogens.</w:t>
      </w:r>
    </w:p>
    <w:p w14:paraId="2EE80C7F" w14:textId="06CF4D9A" w:rsidR="00906F76" w:rsidRPr="0012752D" w:rsidRDefault="00000000" w:rsidP="0012752D">
      <w:pPr>
        <w:pStyle w:val="Compact"/>
        <w:numPr>
          <w:ilvl w:val="0"/>
          <w:numId w:val="2"/>
        </w:numPr>
        <w:jc w:val="both"/>
        <w:rPr>
          <w:rFonts w:ascii="Helvetica" w:hAnsi="Helvetica"/>
          <w:color w:val="000000" w:themeColor="text1"/>
        </w:rPr>
      </w:pPr>
      <w:r w:rsidRPr="0012752D">
        <w:rPr>
          <w:rFonts w:ascii="Helvetica" w:hAnsi="Helvetica"/>
          <w:color w:val="000000" w:themeColor="text1"/>
        </w:rPr>
        <w:t>In the year to date for severity reporting, the median duration of mechanical ventilation was 3.03 days (IQR: 1.22–7.2 days), the median length of stay in intensive care was 2.84 days (IQR: 1.65–5.34 days), the median length of stay in hospital was 7.52</w:t>
      </w:r>
      <w:r w:rsidR="00252AF8">
        <w:rPr>
          <w:rFonts w:ascii="Helvetica" w:hAnsi="Helvetica"/>
          <w:color w:val="000000" w:themeColor="text1"/>
        </w:rPr>
        <w:t xml:space="preserve"> </w:t>
      </w:r>
      <w:r w:rsidRPr="0012752D">
        <w:rPr>
          <w:rFonts w:ascii="Helvetica" w:hAnsi="Helvetica"/>
          <w:color w:val="000000" w:themeColor="text1"/>
        </w:rPr>
        <w:t>days (IQR: 4.47–14.16 days).</w:t>
      </w:r>
      <w:r w:rsidRPr="0012752D">
        <w:rPr>
          <w:rFonts w:ascii="Helvetica" w:hAnsi="Helvetica"/>
          <w:color w:val="000000" w:themeColor="text1"/>
        </w:rPr>
        <w:br/>
      </w:r>
      <w:r w:rsidR="00252AF8">
        <w:rPr>
          <w:rFonts w:ascii="Helvetica" w:hAnsi="Helvetica"/>
          <w:color w:val="000000" w:themeColor="text1"/>
        </w:rPr>
        <w:t xml:space="preserve"> </w:t>
      </w:r>
    </w:p>
    <w:p w14:paraId="17341F55" w14:textId="77777777" w:rsidR="00906F76" w:rsidRPr="0012752D" w:rsidRDefault="00000000" w:rsidP="003C32F8">
      <w:pPr>
        <w:pStyle w:val="Compact"/>
        <w:numPr>
          <w:ilvl w:val="0"/>
          <w:numId w:val="2"/>
        </w:numPr>
        <w:jc w:val="both"/>
        <w:rPr>
          <w:rFonts w:ascii="Helvetica" w:hAnsi="Helvetica"/>
          <w:color w:val="000000" w:themeColor="text1"/>
        </w:rPr>
      </w:pPr>
      <w:r w:rsidRPr="0012752D">
        <w:rPr>
          <w:rFonts w:ascii="Helvetica" w:hAnsi="Helvetica"/>
          <w:color w:val="000000" w:themeColor="text1"/>
        </w:rPr>
        <w:t>In the year to date, most patients (68.52%; 751/1096) have been discharged home, 6.66% (73/1096) died in intensive care and 2.92% (32/1096) died within the general hospital ward, with an overall in-hospital mortality rate of 9.58% (105/1096) for SARI patients admitted to a participating SPRINT-SARI intensive care.</w:t>
      </w:r>
    </w:p>
    <w:p w14:paraId="3F419CA6" w14:textId="77777777" w:rsidR="003C32F8" w:rsidRPr="0012752D" w:rsidRDefault="003C32F8" w:rsidP="003C32F8">
      <w:pPr>
        <w:pStyle w:val="Compact"/>
        <w:jc w:val="both"/>
        <w:rPr>
          <w:rFonts w:ascii="Helvetica" w:hAnsi="Helvetica"/>
          <w:color w:val="000000" w:themeColor="text1"/>
        </w:rPr>
      </w:pPr>
    </w:p>
    <w:p w14:paraId="107CC655" w14:textId="77777777" w:rsidR="003C32F8" w:rsidRPr="0012752D" w:rsidRDefault="003C32F8" w:rsidP="003C32F8">
      <w:pPr>
        <w:pStyle w:val="Compact"/>
        <w:jc w:val="both"/>
        <w:rPr>
          <w:rFonts w:ascii="Helvetica" w:hAnsi="Helvetica"/>
          <w:color w:val="000000" w:themeColor="text1"/>
        </w:rPr>
      </w:pPr>
    </w:p>
    <w:p w14:paraId="0431B9D4" w14:textId="77777777" w:rsidR="003C32F8" w:rsidRPr="0012752D" w:rsidRDefault="003C32F8" w:rsidP="003C32F8">
      <w:pPr>
        <w:pStyle w:val="Compact"/>
        <w:jc w:val="both"/>
        <w:rPr>
          <w:rFonts w:ascii="Helvetica" w:hAnsi="Helvetica"/>
          <w:color w:val="000000" w:themeColor="text1"/>
        </w:rPr>
      </w:pPr>
    </w:p>
    <w:p w14:paraId="1D125CCD" w14:textId="77777777" w:rsidR="003C32F8" w:rsidRPr="0012752D" w:rsidRDefault="003C32F8" w:rsidP="003C32F8">
      <w:pPr>
        <w:pStyle w:val="Compact"/>
        <w:jc w:val="both"/>
        <w:rPr>
          <w:rFonts w:ascii="Helvetica" w:hAnsi="Helvetica"/>
          <w:color w:val="000000" w:themeColor="text1"/>
        </w:rPr>
      </w:pPr>
    </w:p>
    <w:p w14:paraId="71210E99" w14:textId="77777777" w:rsidR="003C32F8" w:rsidRPr="0012752D" w:rsidRDefault="003C32F8" w:rsidP="003C32F8">
      <w:pPr>
        <w:pStyle w:val="Compact"/>
        <w:jc w:val="both"/>
        <w:rPr>
          <w:rFonts w:ascii="Helvetica" w:hAnsi="Helvetica"/>
          <w:color w:val="000000" w:themeColor="text1"/>
        </w:rPr>
      </w:pPr>
    </w:p>
    <w:p w14:paraId="7499B6D7" w14:textId="77777777" w:rsidR="003C32F8" w:rsidRPr="0012752D" w:rsidRDefault="003C32F8" w:rsidP="003C32F8">
      <w:pPr>
        <w:pStyle w:val="Compact"/>
        <w:jc w:val="both"/>
        <w:rPr>
          <w:rFonts w:ascii="Helvetica" w:hAnsi="Helvetica"/>
          <w:color w:val="000000" w:themeColor="text1"/>
        </w:rPr>
      </w:pPr>
    </w:p>
    <w:p w14:paraId="7EB3B69B" w14:textId="77777777" w:rsidR="003C32F8" w:rsidRPr="0012752D" w:rsidRDefault="003C32F8" w:rsidP="003C32F8">
      <w:pPr>
        <w:pStyle w:val="Compact"/>
        <w:jc w:val="both"/>
        <w:rPr>
          <w:rFonts w:ascii="Helvetica" w:hAnsi="Helvetica"/>
          <w:color w:val="000000" w:themeColor="text1"/>
        </w:rPr>
      </w:pPr>
    </w:p>
    <w:p w14:paraId="4AB0C783" w14:textId="77777777" w:rsidR="003C32F8" w:rsidRDefault="003C32F8" w:rsidP="003C32F8">
      <w:pPr>
        <w:pStyle w:val="Compact"/>
        <w:jc w:val="both"/>
        <w:rPr>
          <w:rFonts w:ascii="Helvetica" w:hAnsi="Helvetica"/>
          <w:color w:val="000000" w:themeColor="text1"/>
        </w:rPr>
      </w:pPr>
    </w:p>
    <w:p w14:paraId="55D13112" w14:textId="77777777" w:rsidR="0012752D" w:rsidRPr="0012752D" w:rsidRDefault="0012752D" w:rsidP="003C32F8">
      <w:pPr>
        <w:pStyle w:val="Compact"/>
        <w:jc w:val="both"/>
        <w:rPr>
          <w:rFonts w:ascii="Helvetica" w:hAnsi="Helvetica"/>
          <w:color w:val="000000" w:themeColor="text1"/>
        </w:rPr>
      </w:pPr>
    </w:p>
    <w:p w14:paraId="68286409" w14:textId="77777777" w:rsidR="003C32F8" w:rsidRPr="0012752D" w:rsidRDefault="003C32F8" w:rsidP="003C32F8">
      <w:pPr>
        <w:pStyle w:val="Compact"/>
        <w:jc w:val="both"/>
        <w:rPr>
          <w:rFonts w:ascii="Helvetica" w:hAnsi="Helvetica"/>
          <w:color w:val="000000" w:themeColor="text1"/>
        </w:rPr>
      </w:pPr>
    </w:p>
    <w:tbl>
      <w:tblPr>
        <w:tblStyle w:val="ListTable2-Accent2"/>
        <w:tblW w:w="0" w:type="auto"/>
        <w:tblBorders>
          <w:top w:val="single" w:sz="4" w:space="0" w:color="auto"/>
          <w:left w:val="single" w:sz="4" w:space="0" w:color="auto"/>
          <w:bottom w:val="single" w:sz="4" w:space="0" w:color="auto"/>
          <w:right w:val="single" w:sz="4" w:space="0" w:color="auto"/>
          <w:insideV w:val="single" w:sz="4" w:space="0" w:color="D99594" w:themeColor="accent2" w:themeTint="99"/>
        </w:tblBorders>
        <w:tblLook w:val="0400" w:firstRow="0" w:lastRow="0" w:firstColumn="0" w:lastColumn="0" w:noHBand="0" w:noVBand="1"/>
      </w:tblPr>
      <w:tblGrid>
        <w:gridCol w:w="9350"/>
      </w:tblGrid>
      <w:tr w:rsidR="0012752D" w:rsidRPr="0012752D" w14:paraId="3C9BB3CD" w14:textId="77777777" w:rsidTr="0012752D">
        <w:trPr>
          <w:cnfStyle w:val="000000100000" w:firstRow="0" w:lastRow="0" w:firstColumn="0" w:lastColumn="0" w:oddVBand="0" w:evenVBand="0" w:oddHBand="1" w:evenHBand="0" w:firstRowFirstColumn="0" w:firstRowLastColumn="0" w:lastRowFirstColumn="0" w:lastRowLastColumn="0"/>
        </w:trPr>
        <w:tc>
          <w:tcPr>
            <w:tcW w:w="9576" w:type="dxa"/>
            <w:tcBorders>
              <w:top w:val="single" w:sz="4" w:space="0" w:color="auto"/>
              <w:bottom w:val="single" w:sz="4" w:space="0" w:color="auto"/>
            </w:tcBorders>
          </w:tcPr>
          <w:p w14:paraId="4FBDBA2A" w14:textId="437C4EC3" w:rsidR="0012752D" w:rsidRPr="0012752D" w:rsidRDefault="0012752D" w:rsidP="0012752D">
            <w:pPr>
              <w:pStyle w:val="FirstParagraph"/>
              <w:spacing w:before="0" w:after="0"/>
              <w:jc w:val="both"/>
              <w:rPr>
                <w:rFonts w:ascii="Helvetica" w:hAnsi="Helvetica"/>
                <w:color w:val="000000" w:themeColor="text1"/>
              </w:rPr>
            </w:pPr>
            <w:r w:rsidRPr="0012752D">
              <w:rPr>
                <w:rFonts w:ascii="Helvetica" w:hAnsi="Helvetica"/>
                <w:b/>
                <w:bCs/>
                <w:color w:val="000000" w:themeColor="text1"/>
              </w:rPr>
              <w:lastRenderedPageBreak/>
              <w:t xml:space="preserve">Figure 1: </w:t>
            </w:r>
            <w:r w:rsidRPr="0012752D">
              <w:rPr>
                <w:rFonts w:ascii="Helvetica" w:hAnsi="Helvetica"/>
                <w:color w:val="000000" w:themeColor="text1"/>
              </w:rPr>
              <w:t>Number of severe acute respiratory illness patients admitted to a participating SPRINT-SARI intensive care by pathogen and week of admission, Australia, 01-01-2024 to 16-06-2024</w:t>
            </w:r>
          </w:p>
        </w:tc>
      </w:tr>
      <w:tr w:rsidR="0012752D" w:rsidRPr="0012752D" w14:paraId="06D19151" w14:textId="77777777" w:rsidTr="0012752D">
        <w:tc>
          <w:tcPr>
            <w:tcW w:w="9576" w:type="dxa"/>
            <w:tcBorders>
              <w:top w:val="single" w:sz="4" w:space="0" w:color="auto"/>
              <w:bottom w:val="single" w:sz="4" w:space="0" w:color="auto"/>
            </w:tcBorders>
          </w:tcPr>
          <w:p w14:paraId="3C4D9172" w14:textId="77777777" w:rsidR="0012752D" w:rsidRPr="0012752D" w:rsidRDefault="0012752D" w:rsidP="00A41E87">
            <w:pPr>
              <w:pStyle w:val="BodyText"/>
              <w:jc w:val="both"/>
              <w:rPr>
                <w:rFonts w:ascii="Helvetica" w:hAnsi="Helvetica"/>
                <w:color w:val="000000" w:themeColor="text1"/>
              </w:rPr>
            </w:pPr>
            <w:r w:rsidRPr="0012752D">
              <w:rPr>
                <w:rFonts w:ascii="Helvetica" w:hAnsi="Helvetica"/>
                <w:noProof/>
                <w:color w:val="000000" w:themeColor="text1"/>
              </w:rPr>
              <w:drawing>
                <wp:inline distT="0" distB="0" distL="0" distR="0" wp14:anchorId="2E655344" wp14:editId="003832E5">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rsr_report_files/figure-docx/unnamed-chunk-3-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tc>
      </w:tr>
      <w:tr w:rsidR="0012752D" w:rsidRPr="0012752D" w14:paraId="661AD4DF" w14:textId="77777777" w:rsidTr="0012752D">
        <w:trPr>
          <w:cnfStyle w:val="000000100000" w:firstRow="0" w:lastRow="0" w:firstColumn="0" w:lastColumn="0" w:oddVBand="0" w:evenVBand="0" w:oddHBand="1" w:evenHBand="0" w:firstRowFirstColumn="0" w:firstRowLastColumn="0" w:lastRowFirstColumn="0" w:lastRowLastColumn="0"/>
          <w:trHeight w:val="279"/>
        </w:trPr>
        <w:tc>
          <w:tcPr>
            <w:tcW w:w="9576" w:type="dxa"/>
            <w:tcBorders>
              <w:top w:val="single" w:sz="4" w:space="0" w:color="auto"/>
              <w:left w:val="nil"/>
              <w:bottom w:val="single" w:sz="4" w:space="0" w:color="auto"/>
              <w:right w:val="nil"/>
            </w:tcBorders>
            <w:shd w:val="clear" w:color="auto" w:fill="auto"/>
          </w:tcPr>
          <w:p w14:paraId="30C08E2B" w14:textId="77777777" w:rsidR="0012752D" w:rsidRPr="0012752D" w:rsidRDefault="0012752D" w:rsidP="0012752D">
            <w:pPr>
              <w:pStyle w:val="BodyText"/>
              <w:spacing w:before="0" w:after="0"/>
              <w:jc w:val="both"/>
              <w:rPr>
                <w:rFonts w:ascii="Helvetica" w:hAnsi="Helvetica"/>
                <w:color w:val="000000" w:themeColor="text1"/>
                <w:sz w:val="16"/>
                <w:szCs w:val="16"/>
              </w:rPr>
            </w:pPr>
            <w:r w:rsidRPr="0012752D">
              <w:rPr>
                <w:rFonts w:ascii="Helvetica" w:hAnsi="Helvetica"/>
                <w:color w:val="000000" w:themeColor="text1"/>
                <w:sz w:val="16"/>
                <w:szCs w:val="16"/>
              </w:rPr>
              <w:t>*Includes 9 patients with viral co-infection of COVID/influenza/RSV in the year to date for severity reporting.</w:t>
            </w:r>
          </w:p>
        </w:tc>
      </w:tr>
    </w:tbl>
    <w:p w14:paraId="0299079A" w14:textId="77777777" w:rsidR="0012752D" w:rsidRPr="0012752D" w:rsidRDefault="0012752D" w:rsidP="0012752D">
      <w:pPr>
        <w:pStyle w:val="BodyText"/>
        <w:jc w:val="both"/>
        <w:rPr>
          <w:rFonts w:ascii="Helvetica" w:hAnsi="Helvetica"/>
          <w:color w:val="000000" w:themeColor="text1"/>
        </w:rPr>
      </w:pPr>
    </w:p>
    <w:p w14:paraId="0495E3CD" w14:textId="77777777" w:rsidR="0012752D" w:rsidRPr="0012752D" w:rsidRDefault="0012752D" w:rsidP="0012752D">
      <w:pPr>
        <w:pStyle w:val="BodyText"/>
        <w:jc w:val="both"/>
        <w:rPr>
          <w:rFonts w:ascii="Helvetica" w:hAnsi="Helvetica"/>
          <w:color w:val="000000" w:themeColor="text1"/>
        </w:rPr>
      </w:pPr>
    </w:p>
    <w:p w14:paraId="0947EB2A" w14:textId="77777777" w:rsidR="0012752D" w:rsidRPr="0012752D" w:rsidRDefault="0012752D" w:rsidP="0012752D">
      <w:pPr>
        <w:pStyle w:val="BodyText"/>
        <w:jc w:val="both"/>
        <w:rPr>
          <w:rFonts w:ascii="Helvetica" w:hAnsi="Helvetica"/>
          <w:color w:val="000000" w:themeColor="text1"/>
        </w:rPr>
      </w:pPr>
    </w:p>
    <w:p w14:paraId="77752117" w14:textId="77777777" w:rsidR="0012752D" w:rsidRPr="0012752D" w:rsidRDefault="0012752D" w:rsidP="0012752D">
      <w:pPr>
        <w:pStyle w:val="BodyText"/>
        <w:jc w:val="both"/>
        <w:rPr>
          <w:rFonts w:ascii="Helvetica" w:hAnsi="Helvetica"/>
          <w:color w:val="000000" w:themeColor="text1"/>
        </w:rPr>
      </w:pPr>
    </w:p>
    <w:p w14:paraId="428FA763" w14:textId="77777777" w:rsidR="0012752D" w:rsidRPr="0012752D" w:rsidRDefault="0012752D" w:rsidP="0012752D">
      <w:pPr>
        <w:pStyle w:val="BodyText"/>
        <w:jc w:val="both"/>
        <w:rPr>
          <w:rFonts w:ascii="Helvetica" w:hAnsi="Helvetica"/>
          <w:color w:val="000000" w:themeColor="text1"/>
        </w:rPr>
      </w:pPr>
    </w:p>
    <w:p w14:paraId="7C576AD6" w14:textId="77777777" w:rsidR="0012752D" w:rsidRPr="0012752D" w:rsidRDefault="0012752D" w:rsidP="0012752D">
      <w:pPr>
        <w:pStyle w:val="BodyText"/>
        <w:jc w:val="both"/>
        <w:rPr>
          <w:rFonts w:ascii="Helvetica" w:hAnsi="Helvetica"/>
          <w:color w:val="000000" w:themeColor="text1"/>
        </w:rPr>
      </w:pPr>
    </w:p>
    <w:tbl>
      <w:tblPr>
        <w:tblStyle w:val="ListTable2-Accent2"/>
        <w:tblW w:w="10597" w:type="dxa"/>
        <w:tblInd w:w="-459" w:type="dxa"/>
        <w:tblLayout w:type="fixed"/>
        <w:tblLook w:val="0400" w:firstRow="0" w:lastRow="0" w:firstColumn="0" w:lastColumn="0" w:noHBand="0" w:noVBand="1"/>
      </w:tblPr>
      <w:tblGrid>
        <w:gridCol w:w="1843"/>
        <w:gridCol w:w="1154"/>
        <w:gridCol w:w="1102"/>
        <w:gridCol w:w="1056"/>
        <w:gridCol w:w="1059"/>
        <w:gridCol w:w="1056"/>
        <w:gridCol w:w="1191"/>
        <w:gridCol w:w="1056"/>
        <w:gridCol w:w="1058"/>
        <w:gridCol w:w="22"/>
      </w:tblGrid>
      <w:tr w:rsidR="0012752D" w:rsidRPr="0012752D" w14:paraId="386AF600" w14:textId="566B50EB" w:rsidTr="0012752D">
        <w:trPr>
          <w:cnfStyle w:val="000000100000" w:firstRow="0" w:lastRow="0" w:firstColumn="0" w:lastColumn="0" w:oddVBand="0" w:evenVBand="0" w:oddHBand="1" w:evenHBand="0" w:firstRowFirstColumn="0" w:firstRowLastColumn="0" w:lastRowFirstColumn="0" w:lastRowLastColumn="0"/>
          <w:trHeight w:val="187"/>
        </w:trPr>
        <w:tc>
          <w:tcPr>
            <w:tcW w:w="10597" w:type="dxa"/>
            <w:gridSpan w:val="10"/>
            <w:tcBorders>
              <w:top w:val="single" w:sz="4" w:space="0" w:color="auto"/>
              <w:left w:val="single" w:sz="4" w:space="0" w:color="auto"/>
              <w:bottom w:val="single" w:sz="4" w:space="0" w:color="auto"/>
              <w:right w:val="single" w:sz="4" w:space="0" w:color="auto"/>
            </w:tcBorders>
          </w:tcPr>
          <w:p w14:paraId="25CB8A0F" w14:textId="2EE86EC0" w:rsidR="00FF289F" w:rsidRPr="0012752D" w:rsidRDefault="00FF289F" w:rsidP="00FF289F">
            <w:pPr>
              <w:pStyle w:val="BodyText"/>
              <w:spacing w:before="0" w:after="0"/>
              <w:jc w:val="both"/>
              <w:rPr>
                <w:rFonts w:ascii="Helvetica" w:hAnsi="Helvetica"/>
                <w:color w:val="000000" w:themeColor="text1"/>
                <w:sz w:val="16"/>
                <w:szCs w:val="16"/>
              </w:rPr>
            </w:pPr>
            <w:r w:rsidRPr="0012752D">
              <w:rPr>
                <w:rFonts w:ascii="Helvetica" w:hAnsi="Helvetica"/>
                <w:b/>
                <w:bCs/>
                <w:color w:val="000000" w:themeColor="text1"/>
                <w:sz w:val="16"/>
                <w:szCs w:val="16"/>
              </w:rPr>
              <w:lastRenderedPageBreak/>
              <w:t xml:space="preserve">Table </w:t>
            </w:r>
            <w:r w:rsidR="00105338">
              <w:rPr>
                <w:rFonts w:ascii="Helvetica" w:hAnsi="Helvetica"/>
                <w:b/>
                <w:bCs/>
                <w:color w:val="000000" w:themeColor="text1"/>
                <w:sz w:val="16"/>
                <w:szCs w:val="16"/>
              </w:rPr>
              <w:t>1</w:t>
            </w:r>
            <w:r w:rsidRPr="0012752D">
              <w:rPr>
                <w:rFonts w:ascii="Helvetica" w:hAnsi="Helvetica"/>
                <w:b/>
                <w:bCs/>
                <w:color w:val="000000" w:themeColor="text1"/>
                <w:sz w:val="16"/>
                <w:szCs w:val="16"/>
              </w:rPr>
              <w:t xml:space="preserve">: </w:t>
            </w:r>
            <w:r w:rsidRPr="0012752D">
              <w:rPr>
                <w:rFonts w:ascii="Helvetica" w:hAnsi="Helvetica"/>
                <w:color w:val="000000" w:themeColor="text1"/>
                <w:sz w:val="16"/>
                <w:szCs w:val="16"/>
              </w:rPr>
              <w:t>Outcomes for patients with severe acute respiratory illnesses admitted to a participating SPRINT-SARI intensive care by pathogen, Australia, 01-01-2024 to 16-06-2024</w:t>
            </w:r>
          </w:p>
        </w:tc>
      </w:tr>
      <w:tr w:rsidR="0012752D" w:rsidRPr="0012752D" w14:paraId="4FF3D76B" w14:textId="6303DF0C" w:rsidTr="0012752D">
        <w:trPr>
          <w:trHeight w:val="187"/>
        </w:trPr>
        <w:tc>
          <w:tcPr>
            <w:tcW w:w="1843" w:type="dxa"/>
            <w:tcBorders>
              <w:top w:val="single" w:sz="4" w:space="0" w:color="auto"/>
              <w:left w:val="single" w:sz="4" w:space="0" w:color="auto"/>
              <w:bottom w:val="single" w:sz="4" w:space="0" w:color="auto"/>
              <w:right w:val="nil"/>
            </w:tcBorders>
          </w:tcPr>
          <w:p w14:paraId="0002136D"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both"/>
              <w:rPr>
                <w:rFonts w:ascii="Helvetica" w:eastAsia="Helvetica" w:hAnsi="Helvetica" w:cs="Helvetica"/>
                <w:b/>
                <w:bCs/>
                <w:color w:val="000000" w:themeColor="text1"/>
                <w:sz w:val="16"/>
                <w:szCs w:val="16"/>
              </w:rPr>
            </w:pPr>
          </w:p>
        </w:tc>
        <w:tc>
          <w:tcPr>
            <w:tcW w:w="2256" w:type="dxa"/>
            <w:gridSpan w:val="2"/>
            <w:tcBorders>
              <w:top w:val="single" w:sz="4" w:space="0" w:color="auto"/>
              <w:left w:val="nil"/>
              <w:bottom w:val="single" w:sz="4" w:space="0" w:color="auto"/>
              <w:right w:val="nil"/>
            </w:tcBorders>
            <w:vAlign w:val="center"/>
          </w:tcPr>
          <w:p w14:paraId="039A4273" w14:textId="0282E9BE"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b/>
                <w:bCs/>
                <w:color w:val="000000" w:themeColor="text1"/>
                <w:sz w:val="16"/>
                <w:szCs w:val="16"/>
              </w:rPr>
            </w:pPr>
            <w:r w:rsidRPr="0012752D">
              <w:rPr>
                <w:rFonts w:ascii="Helvetica" w:eastAsia="Helvetica" w:hAnsi="Helvetica" w:cs="Helvetica"/>
                <w:b/>
                <w:bCs/>
                <w:color w:val="000000" w:themeColor="text1"/>
                <w:sz w:val="16"/>
                <w:szCs w:val="16"/>
              </w:rPr>
              <w:t>COVID-19</w:t>
            </w:r>
          </w:p>
        </w:tc>
        <w:tc>
          <w:tcPr>
            <w:tcW w:w="2115" w:type="dxa"/>
            <w:gridSpan w:val="2"/>
            <w:tcBorders>
              <w:top w:val="single" w:sz="4" w:space="0" w:color="auto"/>
              <w:left w:val="nil"/>
              <w:bottom w:val="single" w:sz="4" w:space="0" w:color="auto"/>
              <w:right w:val="nil"/>
            </w:tcBorders>
            <w:vAlign w:val="center"/>
          </w:tcPr>
          <w:p w14:paraId="1107F14D" w14:textId="5511BC2D"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b/>
                <w:bCs/>
                <w:color w:val="000000" w:themeColor="text1"/>
                <w:sz w:val="16"/>
                <w:szCs w:val="16"/>
              </w:rPr>
            </w:pPr>
            <w:r w:rsidRPr="0012752D">
              <w:rPr>
                <w:rFonts w:ascii="Helvetica" w:hAnsi="Helvetica"/>
                <w:b/>
                <w:bCs/>
                <w:color w:val="000000" w:themeColor="text1"/>
                <w:sz w:val="16"/>
                <w:szCs w:val="16"/>
              </w:rPr>
              <w:t>Influenza</w:t>
            </w:r>
          </w:p>
        </w:tc>
        <w:tc>
          <w:tcPr>
            <w:tcW w:w="2247" w:type="dxa"/>
            <w:gridSpan w:val="2"/>
            <w:tcBorders>
              <w:top w:val="single" w:sz="4" w:space="0" w:color="auto"/>
              <w:left w:val="nil"/>
              <w:bottom w:val="single" w:sz="4" w:space="0" w:color="auto"/>
              <w:right w:val="nil"/>
            </w:tcBorders>
            <w:vAlign w:val="center"/>
          </w:tcPr>
          <w:p w14:paraId="63DD5FF3" w14:textId="701ADCDA"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b/>
                <w:bCs/>
                <w:color w:val="000000" w:themeColor="text1"/>
                <w:sz w:val="16"/>
                <w:szCs w:val="16"/>
              </w:rPr>
            </w:pPr>
            <w:r w:rsidRPr="0012752D">
              <w:rPr>
                <w:rFonts w:ascii="Helvetica" w:hAnsi="Helvetica"/>
                <w:b/>
                <w:bCs/>
                <w:color w:val="000000" w:themeColor="text1"/>
                <w:sz w:val="16"/>
                <w:szCs w:val="16"/>
              </w:rPr>
              <w:t>RSV</w:t>
            </w:r>
          </w:p>
        </w:tc>
        <w:tc>
          <w:tcPr>
            <w:tcW w:w="2136" w:type="dxa"/>
            <w:gridSpan w:val="3"/>
            <w:tcBorders>
              <w:top w:val="single" w:sz="4" w:space="0" w:color="auto"/>
              <w:left w:val="nil"/>
              <w:bottom w:val="single" w:sz="4" w:space="0" w:color="auto"/>
              <w:right w:val="single" w:sz="4" w:space="0" w:color="auto"/>
            </w:tcBorders>
            <w:vAlign w:val="center"/>
          </w:tcPr>
          <w:p w14:paraId="11F05A9B" w14:textId="496B1DE4" w:rsidR="00FF289F" w:rsidRPr="0012752D" w:rsidRDefault="00223C5D"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b/>
                <w:bCs/>
                <w:color w:val="000000" w:themeColor="text1"/>
                <w:sz w:val="16"/>
                <w:szCs w:val="16"/>
              </w:rPr>
            </w:pPr>
            <w:r w:rsidRPr="00223C5D">
              <w:rPr>
                <w:rFonts w:ascii="Helvetica" w:hAnsi="Helvetica"/>
                <w:b/>
                <w:bCs/>
                <w:color w:val="000000" w:themeColor="text1"/>
                <w:sz w:val="16"/>
                <w:szCs w:val="16"/>
              </w:rPr>
              <w:t>Other pathogens</w:t>
            </w:r>
          </w:p>
        </w:tc>
      </w:tr>
      <w:tr w:rsidR="0012752D" w:rsidRPr="0012752D" w14:paraId="594BD0F0" w14:textId="168F9D03" w:rsidTr="0012752D">
        <w:trPr>
          <w:gridAfter w:val="1"/>
          <w:cnfStyle w:val="000000100000" w:firstRow="0" w:lastRow="0" w:firstColumn="0" w:lastColumn="0" w:oddVBand="0" w:evenVBand="0" w:oddHBand="1" w:evenHBand="0" w:firstRowFirstColumn="0" w:firstRowLastColumn="0" w:lastRowFirstColumn="0" w:lastRowLastColumn="0"/>
          <w:wAfter w:w="22" w:type="dxa"/>
          <w:trHeight w:val="187"/>
        </w:trPr>
        <w:tc>
          <w:tcPr>
            <w:tcW w:w="1843" w:type="dxa"/>
            <w:tcBorders>
              <w:top w:val="single" w:sz="4" w:space="0" w:color="auto"/>
              <w:left w:val="single" w:sz="4" w:space="0" w:color="auto"/>
              <w:bottom w:val="single" w:sz="4" w:space="0" w:color="auto"/>
              <w:right w:val="nil"/>
            </w:tcBorders>
            <w:vAlign w:val="center"/>
          </w:tcPr>
          <w:p w14:paraId="2903367D" w14:textId="514D4B13"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b/>
                <w:bCs/>
                <w:color w:val="000000" w:themeColor="text1"/>
                <w:sz w:val="16"/>
                <w:szCs w:val="16"/>
              </w:rPr>
            </w:pPr>
          </w:p>
        </w:tc>
        <w:tc>
          <w:tcPr>
            <w:tcW w:w="1154" w:type="dxa"/>
            <w:tcBorders>
              <w:top w:val="single" w:sz="4" w:space="0" w:color="auto"/>
              <w:left w:val="nil"/>
              <w:bottom w:val="single" w:sz="4" w:space="0" w:color="auto"/>
              <w:right w:val="nil"/>
            </w:tcBorders>
            <w:vAlign w:val="center"/>
          </w:tcPr>
          <w:p w14:paraId="7FAF8B56"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Severity reporting period</w:t>
            </w:r>
            <w:r w:rsidRPr="0012752D">
              <w:rPr>
                <w:rFonts w:ascii="Helvetica" w:eastAsia="Helvetica" w:hAnsi="Helvetica" w:cs="Helvetica"/>
                <w:color w:val="000000" w:themeColor="text1"/>
                <w:sz w:val="16"/>
                <w:szCs w:val="16"/>
              </w:rPr>
              <w:br/>
              <w:t>(N=112)</w:t>
            </w:r>
          </w:p>
        </w:tc>
        <w:tc>
          <w:tcPr>
            <w:tcW w:w="1102" w:type="dxa"/>
            <w:tcBorders>
              <w:top w:val="single" w:sz="4" w:space="0" w:color="auto"/>
              <w:left w:val="nil"/>
              <w:bottom w:val="single" w:sz="4" w:space="0" w:color="auto"/>
              <w:right w:val="nil"/>
            </w:tcBorders>
            <w:vAlign w:val="center"/>
          </w:tcPr>
          <w:p w14:paraId="0C81594F"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Year to date for severity reporting</w:t>
            </w:r>
            <w:r w:rsidRPr="0012752D">
              <w:rPr>
                <w:rFonts w:ascii="Helvetica" w:eastAsia="Helvetica" w:hAnsi="Helvetica" w:cs="Helvetica"/>
                <w:color w:val="000000" w:themeColor="text1"/>
                <w:sz w:val="16"/>
                <w:szCs w:val="16"/>
              </w:rPr>
              <w:br/>
              <w:t>(N=583)</w:t>
            </w:r>
          </w:p>
        </w:tc>
        <w:tc>
          <w:tcPr>
            <w:tcW w:w="1056" w:type="dxa"/>
            <w:tcBorders>
              <w:top w:val="single" w:sz="4" w:space="0" w:color="auto"/>
              <w:left w:val="nil"/>
              <w:bottom w:val="single" w:sz="4" w:space="0" w:color="auto"/>
              <w:right w:val="nil"/>
            </w:tcBorders>
            <w:vAlign w:val="center"/>
          </w:tcPr>
          <w:p w14:paraId="56810555" w14:textId="0F7BECAD"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Severity reporting period</w:t>
            </w:r>
            <w:r w:rsidRPr="0012752D">
              <w:rPr>
                <w:rFonts w:ascii="Helvetica" w:eastAsia="Helvetica" w:hAnsi="Helvetica" w:cs="Helvetica"/>
                <w:color w:val="000000" w:themeColor="text1"/>
                <w:sz w:val="16"/>
                <w:szCs w:val="16"/>
              </w:rPr>
              <w:br/>
              <w:t>(N=48)</w:t>
            </w:r>
          </w:p>
        </w:tc>
        <w:tc>
          <w:tcPr>
            <w:tcW w:w="1059" w:type="dxa"/>
            <w:tcBorders>
              <w:top w:val="single" w:sz="4" w:space="0" w:color="auto"/>
              <w:left w:val="nil"/>
              <w:bottom w:val="single" w:sz="4" w:space="0" w:color="auto"/>
              <w:right w:val="nil"/>
            </w:tcBorders>
            <w:vAlign w:val="center"/>
          </w:tcPr>
          <w:p w14:paraId="168DF62D" w14:textId="2033568E"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Year to date for severity reporting</w:t>
            </w:r>
            <w:r w:rsidRPr="0012752D">
              <w:rPr>
                <w:rFonts w:ascii="Helvetica" w:eastAsia="Helvetica" w:hAnsi="Helvetica" w:cs="Helvetica"/>
                <w:color w:val="000000" w:themeColor="text1"/>
                <w:sz w:val="16"/>
                <w:szCs w:val="16"/>
              </w:rPr>
              <w:br/>
              <w:t>(N=176)</w:t>
            </w:r>
          </w:p>
        </w:tc>
        <w:tc>
          <w:tcPr>
            <w:tcW w:w="1056" w:type="dxa"/>
            <w:tcBorders>
              <w:top w:val="single" w:sz="4" w:space="0" w:color="auto"/>
              <w:left w:val="nil"/>
              <w:bottom w:val="single" w:sz="4" w:space="0" w:color="auto"/>
              <w:right w:val="nil"/>
            </w:tcBorders>
            <w:vAlign w:val="center"/>
          </w:tcPr>
          <w:p w14:paraId="3506F514" w14:textId="248924CA"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Severity reporting period</w:t>
            </w:r>
            <w:r w:rsidRPr="0012752D">
              <w:rPr>
                <w:rFonts w:ascii="Helvetica" w:eastAsia="Helvetica" w:hAnsi="Helvetica" w:cs="Helvetica"/>
                <w:color w:val="000000" w:themeColor="text1"/>
                <w:sz w:val="16"/>
                <w:szCs w:val="16"/>
              </w:rPr>
              <w:br/>
              <w:t>(N=24)</w:t>
            </w:r>
          </w:p>
        </w:tc>
        <w:tc>
          <w:tcPr>
            <w:tcW w:w="1191" w:type="dxa"/>
            <w:tcBorders>
              <w:top w:val="single" w:sz="4" w:space="0" w:color="auto"/>
              <w:left w:val="nil"/>
              <w:bottom w:val="single" w:sz="4" w:space="0" w:color="auto"/>
              <w:right w:val="nil"/>
            </w:tcBorders>
            <w:vAlign w:val="center"/>
          </w:tcPr>
          <w:p w14:paraId="07E17A77" w14:textId="3C55121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Year to date for severity reporting</w:t>
            </w:r>
            <w:r w:rsidRPr="0012752D">
              <w:rPr>
                <w:rFonts w:ascii="Helvetica" w:eastAsia="Helvetica" w:hAnsi="Helvetica" w:cs="Helvetica"/>
                <w:color w:val="000000" w:themeColor="text1"/>
                <w:sz w:val="16"/>
                <w:szCs w:val="16"/>
              </w:rPr>
              <w:br/>
              <w:t>(N=156)</w:t>
            </w:r>
          </w:p>
        </w:tc>
        <w:tc>
          <w:tcPr>
            <w:tcW w:w="1056" w:type="dxa"/>
            <w:tcBorders>
              <w:top w:val="single" w:sz="4" w:space="0" w:color="auto"/>
              <w:left w:val="nil"/>
              <w:bottom w:val="single" w:sz="4" w:space="0" w:color="auto"/>
              <w:right w:val="nil"/>
            </w:tcBorders>
            <w:vAlign w:val="center"/>
          </w:tcPr>
          <w:p w14:paraId="412E29FD" w14:textId="1EE7D259"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Severity reporting period</w:t>
            </w:r>
            <w:r w:rsidRPr="0012752D">
              <w:rPr>
                <w:rFonts w:ascii="Helvetica" w:eastAsia="Helvetica" w:hAnsi="Helvetica" w:cs="Helvetica"/>
                <w:color w:val="000000" w:themeColor="text1"/>
                <w:sz w:val="16"/>
                <w:szCs w:val="16"/>
              </w:rPr>
              <w:br/>
              <w:t>(N=25)</w:t>
            </w:r>
          </w:p>
        </w:tc>
        <w:tc>
          <w:tcPr>
            <w:tcW w:w="1058" w:type="dxa"/>
            <w:tcBorders>
              <w:top w:val="single" w:sz="4" w:space="0" w:color="auto"/>
              <w:left w:val="nil"/>
              <w:bottom w:val="single" w:sz="4" w:space="0" w:color="auto"/>
              <w:right w:val="single" w:sz="4" w:space="0" w:color="auto"/>
            </w:tcBorders>
            <w:vAlign w:val="center"/>
          </w:tcPr>
          <w:p w14:paraId="7B214D18" w14:textId="3E7D655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Year to date for severity reporting</w:t>
            </w:r>
            <w:r w:rsidRPr="0012752D">
              <w:rPr>
                <w:rFonts w:ascii="Helvetica" w:eastAsia="Helvetica" w:hAnsi="Helvetica" w:cs="Helvetica"/>
                <w:color w:val="000000" w:themeColor="text1"/>
                <w:sz w:val="16"/>
                <w:szCs w:val="16"/>
              </w:rPr>
              <w:br/>
              <w:t>(N=208)</w:t>
            </w:r>
          </w:p>
        </w:tc>
      </w:tr>
      <w:tr w:rsidR="0012752D" w:rsidRPr="0012752D" w14:paraId="4A9C68FF" w14:textId="77777777" w:rsidTr="00426397">
        <w:trPr>
          <w:gridAfter w:val="1"/>
          <w:wAfter w:w="22" w:type="dxa"/>
          <w:trHeight w:val="128"/>
        </w:trPr>
        <w:tc>
          <w:tcPr>
            <w:tcW w:w="10575" w:type="dxa"/>
            <w:gridSpan w:val="9"/>
            <w:tcBorders>
              <w:left w:val="single" w:sz="4" w:space="0" w:color="auto"/>
              <w:right w:val="single" w:sz="4" w:space="0" w:color="auto"/>
            </w:tcBorders>
          </w:tcPr>
          <w:p w14:paraId="755B4CC0" w14:textId="5E7A28F1"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themeColor="text1"/>
                <w:sz w:val="16"/>
                <w:szCs w:val="16"/>
              </w:rPr>
            </w:pPr>
            <w:r w:rsidRPr="0012752D">
              <w:rPr>
                <w:rFonts w:ascii="Helvetica" w:eastAsia="Helvetica" w:hAnsi="Helvetica" w:cs="Helvetica"/>
                <w:b/>
                <w:bCs/>
                <w:color w:val="000000" w:themeColor="text1"/>
                <w:sz w:val="16"/>
                <w:szCs w:val="16"/>
              </w:rPr>
              <w:t>Received invasive mechanical ventilation</w:t>
            </w:r>
          </w:p>
        </w:tc>
      </w:tr>
      <w:tr w:rsidR="0012752D" w:rsidRPr="0012752D" w14:paraId="5E7AA803" w14:textId="4B9C6487" w:rsidTr="0012752D">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00429283" w14:textId="4C3CA7DE" w:rsidR="00FF289F"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hAnsi="Helvetica"/>
                <w:color w:val="000000" w:themeColor="text1"/>
                <w:sz w:val="16"/>
                <w:szCs w:val="16"/>
              </w:rPr>
              <w:t>n (%)</w:t>
            </w:r>
          </w:p>
        </w:tc>
        <w:tc>
          <w:tcPr>
            <w:tcW w:w="1154" w:type="dxa"/>
            <w:vAlign w:val="center"/>
          </w:tcPr>
          <w:p w14:paraId="085E792B"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35 (31.3%)</w:t>
            </w:r>
          </w:p>
        </w:tc>
        <w:tc>
          <w:tcPr>
            <w:tcW w:w="1102" w:type="dxa"/>
            <w:vAlign w:val="center"/>
          </w:tcPr>
          <w:p w14:paraId="2B5B0925"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176 (30.2%)</w:t>
            </w:r>
          </w:p>
        </w:tc>
        <w:tc>
          <w:tcPr>
            <w:tcW w:w="1056" w:type="dxa"/>
            <w:vAlign w:val="center"/>
          </w:tcPr>
          <w:p w14:paraId="2670E5E7" w14:textId="6C8C57C8"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20 (41.7%)</w:t>
            </w:r>
          </w:p>
        </w:tc>
        <w:tc>
          <w:tcPr>
            <w:tcW w:w="1059" w:type="dxa"/>
            <w:vAlign w:val="center"/>
          </w:tcPr>
          <w:p w14:paraId="54E83E55" w14:textId="5F107776"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61 (34.7%)</w:t>
            </w:r>
          </w:p>
        </w:tc>
        <w:tc>
          <w:tcPr>
            <w:tcW w:w="1056" w:type="dxa"/>
            <w:vAlign w:val="center"/>
          </w:tcPr>
          <w:p w14:paraId="5F4B6238" w14:textId="26A45C8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 (25.0%)</w:t>
            </w:r>
          </w:p>
        </w:tc>
        <w:tc>
          <w:tcPr>
            <w:tcW w:w="1191" w:type="dxa"/>
            <w:vAlign w:val="center"/>
          </w:tcPr>
          <w:p w14:paraId="01733BD5" w14:textId="0A7F05F5"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38 (24.4%)</w:t>
            </w:r>
          </w:p>
        </w:tc>
        <w:tc>
          <w:tcPr>
            <w:tcW w:w="1056" w:type="dxa"/>
            <w:vAlign w:val="center"/>
          </w:tcPr>
          <w:p w14:paraId="436FC694" w14:textId="6BA59F9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10 (40.0%)</w:t>
            </w:r>
          </w:p>
        </w:tc>
        <w:tc>
          <w:tcPr>
            <w:tcW w:w="1058" w:type="dxa"/>
            <w:tcBorders>
              <w:right w:val="single" w:sz="4" w:space="0" w:color="auto"/>
            </w:tcBorders>
            <w:vAlign w:val="center"/>
          </w:tcPr>
          <w:p w14:paraId="3FD4D251" w14:textId="4BE8F7D1"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64 (30.8%)</w:t>
            </w:r>
          </w:p>
        </w:tc>
      </w:tr>
      <w:tr w:rsidR="0012752D" w:rsidRPr="0012752D" w14:paraId="218FE935" w14:textId="77A30BEB" w:rsidTr="0012752D">
        <w:trPr>
          <w:trHeight w:val="121"/>
        </w:trPr>
        <w:tc>
          <w:tcPr>
            <w:tcW w:w="10597" w:type="dxa"/>
            <w:gridSpan w:val="10"/>
            <w:tcBorders>
              <w:left w:val="single" w:sz="4" w:space="0" w:color="auto"/>
              <w:right w:val="single" w:sz="4" w:space="0" w:color="auto"/>
            </w:tcBorders>
            <w:vAlign w:val="center"/>
          </w:tcPr>
          <w:p w14:paraId="29086E11" w14:textId="5CB09C00" w:rsidR="00FF289F" w:rsidRPr="0012752D" w:rsidRDefault="00FF289F"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Helvetica" w:hAnsi="Helvetica" w:cs="Helvetica"/>
                <w:b/>
                <w:color w:val="000000" w:themeColor="text1"/>
                <w:sz w:val="16"/>
                <w:szCs w:val="16"/>
              </w:rPr>
              <w:t>Duration of mechanical ventilation (days)</w:t>
            </w:r>
          </w:p>
        </w:tc>
      </w:tr>
      <w:tr w:rsidR="0012752D" w:rsidRPr="0012752D" w14:paraId="07BC8189" w14:textId="27B6EE5B" w:rsidTr="0012752D">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28F25F16" w14:textId="77777777" w:rsidR="00FF289F" w:rsidRPr="0012752D" w:rsidRDefault="00FF289F"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Helvetica" w:hAnsi="Helvetica" w:cs="Helvetica"/>
                <w:color w:val="000000" w:themeColor="text1"/>
                <w:sz w:val="16"/>
                <w:szCs w:val="16"/>
              </w:rPr>
              <w:t>  Median [IQR]</w:t>
            </w:r>
          </w:p>
        </w:tc>
        <w:tc>
          <w:tcPr>
            <w:tcW w:w="1154" w:type="dxa"/>
            <w:vAlign w:val="center"/>
          </w:tcPr>
          <w:p w14:paraId="4A686289"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1.9 [0.72, 2.6]</w:t>
            </w:r>
          </w:p>
        </w:tc>
        <w:tc>
          <w:tcPr>
            <w:tcW w:w="1102" w:type="dxa"/>
            <w:vAlign w:val="center"/>
          </w:tcPr>
          <w:p w14:paraId="21990E0B"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2.3 [0.89, 6.8]</w:t>
            </w:r>
          </w:p>
        </w:tc>
        <w:tc>
          <w:tcPr>
            <w:tcW w:w="1056" w:type="dxa"/>
            <w:vAlign w:val="center"/>
          </w:tcPr>
          <w:p w14:paraId="6FF603E7" w14:textId="715D420C"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3.0 [1.7, 7.2]</w:t>
            </w:r>
          </w:p>
        </w:tc>
        <w:tc>
          <w:tcPr>
            <w:tcW w:w="1059" w:type="dxa"/>
            <w:vAlign w:val="center"/>
          </w:tcPr>
          <w:p w14:paraId="6EABEA8C" w14:textId="21BBB076"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4.9 [2.2, 8.8]</w:t>
            </w:r>
          </w:p>
        </w:tc>
        <w:tc>
          <w:tcPr>
            <w:tcW w:w="1056" w:type="dxa"/>
            <w:vAlign w:val="center"/>
          </w:tcPr>
          <w:p w14:paraId="6FC96227" w14:textId="1308B821"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2.5 [1.8, 3.2]</w:t>
            </w:r>
          </w:p>
        </w:tc>
        <w:tc>
          <w:tcPr>
            <w:tcW w:w="1191" w:type="dxa"/>
            <w:vAlign w:val="center"/>
          </w:tcPr>
          <w:p w14:paraId="714434EE" w14:textId="508C948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4.4 [2.3, 6.7]</w:t>
            </w:r>
          </w:p>
        </w:tc>
        <w:tc>
          <w:tcPr>
            <w:tcW w:w="1056" w:type="dxa"/>
            <w:vAlign w:val="center"/>
          </w:tcPr>
          <w:p w14:paraId="0A74BBA5" w14:textId="626021A3"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3.9 [2.1, 6.1]</w:t>
            </w:r>
          </w:p>
        </w:tc>
        <w:tc>
          <w:tcPr>
            <w:tcW w:w="1058" w:type="dxa"/>
            <w:tcBorders>
              <w:right w:val="single" w:sz="4" w:space="0" w:color="auto"/>
            </w:tcBorders>
            <w:vAlign w:val="center"/>
          </w:tcPr>
          <w:p w14:paraId="3B675096" w14:textId="1CF75BCF"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3.1 [1.5, 6.9]</w:t>
            </w:r>
          </w:p>
        </w:tc>
      </w:tr>
      <w:tr w:rsidR="0012752D" w:rsidRPr="0012752D" w14:paraId="716FD731" w14:textId="2B600C1A" w:rsidTr="0012752D">
        <w:trPr>
          <w:trHeight w:val="121"/>
        </w:trPr>
        <w:tc>
          <w:tcPr>
            <w:tcW w:w="10597" w:type="dxa"/>
            <w:gridSpan w:val="10"/>
            <w:tcBorders>
              <w:left w:val="single" w:sz="4" w:space="0" w:color="auto"/>
              <w:right w:val="single" w:sz="4" w:space="0" w:color="auto"/>
            </w:tcBorders>
          </w:tcPr>
          <w:p w14:paraId="28BE63C5" w14:textId="52D25311"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both"/>
              <w:rPr>
                <w:rFonts w:ascii="Helvetica" w:hAnsi="Helvetica"/>
                <w:color w:val="000000" w:themeColor="text1"/>
                <w:sz w:val="16"/>
                <w:szCs w:val="16"/>
              </w:rPr>
            </w:pPr>
            <w:r w:rsidRPr="0012752D">
              <w:rPr>
                <w:rFonts w:ascii="Helvetica" w:eastAsia="Helvetica" w:hAnsi="Helvetica" w:cs="Helvetica"/>
                <w:b/>
                <w:color w:val="000000" w:themeColor="text1"/>
                <w:sz w:val="16"/>
                <w:szCs w:val="16"/>
              </w:rPr>
              <w:t>Length of intensive care stay (days)</w:t>
            </w:r>
          </w:p>
        </w:tc>
      </w:tr>
      <w:tr w:rsidR="0012752D" w:rsidRPr="0012752D" w14:paraId="4555023F" w14:textId="579E9342" w:rsidTr="0012752D">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6A9F6E94" w14:textId="77777777" w:rsidR="00FF289F" w:rsidRPr="0012752D" w:rsidRDefault="00FF289F"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Helvetica" w:hAnsi="Helvetica" w:cs="Helvetica"/>
                <w:color w:val="000000" w:themeColor="text1"/>
                <w:sz w:val="16"/>
                <w:szCs w:val="16"/>
              </w:rPr>
              <w:t>  Median [IQR]</w:t>
            </w:r>
          </w:p>
        </w:tc>
        <w:tc>
          <w:tcPr>
            <w:tcW w:w="1154" w:type="dxa"/>
            <w:vAlign w:val="center"/>
          </w:tcPr>
          <w:p w14:paraId="2D722E1C"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2.9 [1.7, 4.9]</w:t>
            </w:r>
          </w:p>
        </w:tc>
        <w:tc>
          <w:tcPr>
            <w:tcW w:w="1102" w:type="dxa"/>
            <w:vAlign w:val="center"/>
          </w:tcPr>
          <w:p w14:paraId="105FC6A9"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2.7 [1.6, 4.9]</w:t>
            </w:r>
          </w:p>
        </w:tc>
        <w:tc>
          <w:tcPr>
            <w:tcW w:w="1056" w:type="dxa"/>
            <w:vAlign w:val="center"/>
          </w:tcPr>
          <w:p w14:paraId="3A48698D" w14:textId="4DB83099"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3.3 [2.6, 5.7]</w:t>
            </w:r>
          </w:p>
        </w:tc>
        <w:tc>
          <w:tcPr>
            <w:tcW w:w="1059" w:type="dxa"/>
            <w:vAlign w:val="center"/>
          </w:tcPr>
          <w:p w14:paraId="315334CC" w14:textId="2E2D2C68"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3.4 [2.0, 6.3]</w:t>
            </w:r>
          </w:p>
        </w:tc>
        <w:tc>
          <w:tcPr>
            <w:tcW w:w="1056" w:type="dxa"/>
            <w:vAlign w:val="center"/>
          </w:tcPr>
          <w:p w14:paraId="093AF02E" w14:textId="1FD62561"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2.7 [1.5, 4.5]</w:t>
            </w:r>
          </w:p>
        </w:tc>
        <w:tc>
          <w:tcPr>
            <w:tcW w:w="1191" w:type="dxa"/>
            <w:vAlign w:val="center"/>
          </w:tcPr>
          <w:p w14:paraId="386D8437" w14:textId="7564BB7F"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2.8 [1.6, 4.6]</w:t>
            </w:r>
          </w:p>
        </w:tc>
        <w:tc>
          <w:tcPr>
            <w:tcW w:w="1056" w:type="dxa"/>
            <w:vAlign w:val="center"/>
          </w:tcPr>
          <w:p w14:paraId="030419CB" w14:textId="6935D026"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2.7 [1.6, 3.9]</w:t>
            </w:r>
          </w:p>
        </w:tc>
        <w:tc>
          <w:tcPr>
            <w:tcW w:w="1058" w:type="dxa"/>
            <w:tcBorders>
              <w:right w:val="single" w:sz="4" w:space="0" w:color="auto"/>
            </w:tcBorders>
            <w:vAlign w:val="center"/>
          </w:tcPr>
          <w:p w14:paraId="29848F9D" w14:textId="507F3019"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2.9 [1.7, 5.5]</w:t>
            </w:r>
          </w:p>
        </w:tc>
      </w:tr>
      <w:tr w:rsidR="0012752D" w:rsidRPr="0012752D" w14:paraId="1AE429F4" w14:textId="40B1A515" w:rsidTr="0012752D">
        <w:trPr>
          <w:trHeight w:val="121"/>
        </w:trPr>
        <w:tc>
          <w:tcPr>
            <w:tcW w:w="10597" w:type="dxa"/>
            <w:gridSpan w:val="10"/>
            <w:tcBorders>
              <w:left w:val="single" w:sz="4" w:space="0" w:color="auto"/>
              <w:right w:val="single" w:sz="4" w:space="0" w:color="auto"/>
            </w:tcBorders>
          </w:tcPr>
          <w:p w14:paraId="4A251FC9" w14:textId="2DAE91F9"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both"/>
              <w:rPr>
                <w:rFonts w:ascii="Helvetica" w:hAnsi="Helvetica"/>
                <w:color w:val="000000" w:themeColor="text1"/>
                <w:sz w:val="16"/>
                <w:szCs w:val="16"/>
              </w:rPr>
            </w:pPr>
            <w:r w:rsidRPr="0012752D">
              <w:rPr>
                <w:rFonts w:ascii="Helvetica" w:eastAsia="Helvetica" w:hAnsi="Helvetica" w:cs="Helvetica"/>
                <w:b/>
                <w:color w:val="000000" w:themeColor="text1"/>
                <w:sz w:val="16"/>
                <w:szCs w:val="16"/>
              </w:rPr>
              <w:t>Length of hospital stay (days)</w:t>
            </w:r>
          </w:p>
        </w:tc>
      </w:tr>
      <w:tr w:rsidR="0012752D" w:rsidRPr="0012752D" w14:paraId="7CF254A3" w14:textId="5F64229F" w:rsidTr="0012752D">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3E2A3AE0" w14:textId="77777777" w:rsidR="00FF289F" w:rsidRPr="0012752D" w:rsidRDefault="00FF289F"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Helvetica" w:hAnsi="Helvetica" w:cs="Helvetica"/>
                <w:color w:val="000000" w:themeColor="text1"/>
                <w:sz w:val="16"/>
                <w:szCs w:val="16"/>
              </w:rPr>
              <w:t>  Median [IQR]</w:t>
            </w:r>
          </w:p>
        </w:tc>
        <w:tc>
          <w:tcPr>
            <w:tcW w:w="1154" w:type="dxa"/>
            <w:vAlign w:val="center"/>
          </w:tcPr>
          <w:p w14:paraId="1FDC0385"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6.9 [4.7, 13]</w:t>
            </w:r>
          </w:p>
        </w:tc>
        <w:tc>
          <w:tcPr>
            <w:tcW w:w="1102" w:type="dxa"/>
            <w:vAlign w:val="center"/>
          </w:tcPr>
          <w:p w14:paraId="567FB93E" w14:textId="7777777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7.9 [4.6, 15]</w:t>
            </w:r>
          </w:p>
        </w:tc>
        <w:tc>
          <w:tcPr>
            <w:tcW w:w="1056" w:type="dxa"/>
            <w:vAlign w:val="center"/>
          </w:tcPr>
          <w:p w14:paraId="1F2A6C21" w14:textId="698DA2E7"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6.8 [4.0, 11]</w:t>
            </w:r>
          </w:p>
        </w:tc>
        <w:tc>
          <w:tcPr>
            <w:tcW w:w="1059" w:type="dxa"/>
            <w:vAlign w:val="center"/>
          </w:tcPr>
          <w:p w14:paraId="1F5506F4" w14:textId="79AF56A0"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8.2 [4.8, 14]</w:t>
            </w:r>
          </w:p>
        </w:tc>
        <w:tc>
          <w:tcPr>
            <w:tcW w:w="1056" w:type="dxa"/>
            <w:vAlign w:val="center"/>
          </w:tcPr>
          <w:p w14:paraId="038D7B70" w14:textId="698A3D7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8.3 [6.0, 14]</w:t>
            </w:r>
          </w:p>
        </w:tc>
        <w:tc>
          <w:tcPr>
            <w:tcW w:w="1191" w:type="dxa"/>
            <w:vAlign w:val="center"/>
          </w:tcPr>
          <w:p w14:paraId="76EAE485" w14:textId="77658DFE"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6.8 [4.3, 12]</w:t>
            </w:r>
          </w:p>
        </w:tc>
        <w:tc>
          <w:tcPr>
            <w:tcW w:w="1056" w:type="dxa"/>
            <w:vAlign w:val="center"/>
          </w:tcPr>
          <w:p w14:paraId="7819967D" w14:textId="3FA2352E"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6.6 [5.0, 11]</w:t>
            </w:r>
          </w:p>
        </w:tc>
        <w:tc>
          <w:tcPr>
            <w:tcW w:w="1058" w:type="dxa"/>
            <w:tcBorders>
              <w:right w:val="single" w:sz="4" w:space="0" w:color="auto"/>
            </w:tcBorders>
            <w:vAlign w:val="center"/>
          </w:tcPr>
          <w:p w14:paraId="1C292702" w14:textId="4CDEEF24"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7.1 [3.8, 14]</w:t>
            </w:r>
          </w:p>
        </w:tc>
      </w:tr>
      <w:tr w:rsidR="0012752D" w:rsidRPr="0012752D" w14:paraId="6016C25C" w14:textId="690A8AD3" w:rsidTr="0012752D">
        <w:trPr>
          <w:trHeight w:val="121"/>
        </w:trPr>
        <w:tc>
          <w:tcPr>
            <w:tcW w:w="10597" w:type="dxa"/>
            <w:gridSpan w:val="10"/>
            <w:tcBorders>
              <w:left w:val="single" w:sz="4" w:space="0" w:color="auto"/>
              <w:right w:val="single" w:sz="4" w:space="0" w:color="auto"/>
            </w:tcBorders>
          </w:tcPr>
          <w:p w14:paraId="0C917B08" w14:textId="01D0619B" w:rsidR="00FF289F" w:rsidRPr="0012752D" w:rsidRDefault="00FF289F" w:rsidP="00FF289F">
            <w:pPr>
              <w:pBdr>
                <w:top w:val="none" w:sz="0" w:space="0" w:color="000000"/>
                <w:left w:val="none" w:sz="0" w:space="0" w:color="000000"/>
                <w:bottom w:val="none" w:sz="0" w:space="0" w:color="000000"/>
                <w:right w:val="none" w:sz="0" w:space="0" w:color="000000"/>
              </w:pBdr>
              <w:ind w:left="100" w:right="100"/>
              <w:jc w:val="both"/>
              <w:rPr>
                <w:rFonts w:ascii="Helvetica" w:hAnsi="Helvetica"/>
                <w:color w:val="000000" w:themeColor="text1"/>
                <w:sz w:val="16"/>
                <w:szCs w:val="16"/>
              </w:rPr>
            </w:pPr>
            <w:r w:rsidRPr="0012752D">
              <w:rPr>
                <w:rFonts w:ascii="Helvetica" w:eastAsia="Helvetica" w:hAnsi="Helvetica" w:cs="Helvetica"/>
                <w:b/>
                <w:color w:val="000000" w:themeColor="text1"/>
                <w:sz w:val="16"/>
                <w:szCs w:val="16"/>
              </w:rPr>
              <w:t>Patient outcome status</w:t>
            </w:r>
          </w:p>
        </w:tc>
      </w:tr>
      <w:tr w:rsidR="0012752D" w:rsidRPr="0012752D" w14:paraId="54612068" w14:textId="4CA41569" w:rsidTr="002064C7">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642B32FD" w14:textId="34AA8D27"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Ongoing care in ICU*</w:t>
            </w:r>
          </w:p>
        </w:tc>
        <w:tc>
          <w:tcPr>
            <w:tcW w:w="1154" w:type="dxa"/>
            <w:vAlign w:val="center"/>
          </w:tcPr>
          <w:p w14:paraId="6009F1C5"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18 (16.1%)</w:t>
            </w:r>
          </w:p>
        </w:tc>
        <w:tc>
          <w:tcPr>
            <w:tcW w:w="1102" w:type="dxa"/>
            <w:vAlign w:val="center"/>
          </w:tcPr>
          <w:p w14:paraId="788D00B5"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40 (6.9%)</w:t>
            </w:r>
          </w:p>
        </w:tc>
        <w:tc>
          <w:tcPr>
            <w:tcW w:w="1056" w:type="dxa"/>
            <w:vAlign w:val="center"/>
          </w:tcPr>
          <w:p w14:paraId="6B6F5124" w14:textId="7FC2A170"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9 (18.8%)</w:t>
            </w:r>
          </w:p>
        </w:tc>
        <w:tc>
          <w:tcPr>
            <w:tcW w:w="1059" w:type="dxa"/>
            <w:vAlign w:val="center"/>
          </w:tcPr>
          <w:p w14:paraId="5989AD23" w14:textId="68B834F4"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13 (7.4%)</w:t>
            </w:r>
          </w:p>
        </w:tc>
        <w:tc>
          <w:tcPr>
            <w:tcW w:w="1056" w:type="dxa"/>
            <w:vAlign w:val="center"/>
          </w:tcPr>
          <w:p w14:paraId="791059C9" w14:textId="2A923045"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 (16.7%)</w:t>
            </w:r>
          </w:p>
        </w:tc>
        <w:tc>
          <w:tcPr>
            <w:tcW w:w="1191" w:type="dxa"/>
            <w:vAlign w:val="center"/>
          </w:tcPr>
          <w:p w14:paraId="7BDC67AC" w14:textId="45529751"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9 (5.8%)</w:t>
            </w:r>
          </w:p>
        </w:tc>
        <w:tc>
          <w:tcPr>
            <w:tcW w:w="1056" w:type="dxa"/>
            <w:vAlign w:val="center"/>
          </w:tcPr>
          <w:p w14:paraId="1E3925CA" w14:textId="791CC4F2"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 (16.0%)</w:t>
            </w:r>
          </w:p>
        </w:tc>
        <w:tc>
          <w:tcPr>
            <w:tcW w:w="1058" w:type="dxa"/>
            <w:tcBorders>
              <w:right w:val="single" w:sz="4" w:space="0" w:color="auto"/>
            </w:tcBorders>
            <w:vAlign w:val="center"/>
          </w:tcPr>
          <w:p w14:paraId="0A5D41E4" w14:textId="5FBC6E00"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 (3.8%)</w:t>
            </w:r>
          </w:p>
        </w:tc>
      </w:tr>
      <w:tr w:rsidR="00252AF8" w:rsidRPr="0012752D" w14:paraId="754AEB21" w14:textId="2C1F8935" w:rsidTr="002064C7">
        <w:trPr>
          <w:gridAfter w:val="1"/>
          <w:wAfter w:w="22" w:type="dxa"/>
          <w:trHeight w:val="121"/>
        </w:trPr>
        <w:tc>
          <w:tcPr>
            <w:tcW w:w="1843" w:type="dxa"/>
            <w:tcBorders>
              <w:left w:val="single" w:sz="4" w:space="0" w:color="auto"/>
            </w:tcBorders>
            <w:vAlign w:val="center"/>
          </w:tcPr>
          <w:p w14:paraId="2D250AFA" w14:textId="2AF2AF2F"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Ongoing care in hospital ward*</w:t>
            </w:r>
          </w:p>
        </w:tc>
        <w:tc>
          <w:tcPr>
            <w:tcW w:w="1154" w:type="dxa"/>
            <w:vAlign w:val="center"/>
          </w:tcPr>
          <w:p w14:paraId="32098E7E"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20 (17.9%)</w:t>
            </w:r>
          </w:p>
        </w:tc>
        <w:tc>
          <w:tcPr>
            <w:tcW w:w="1102" w:type="dxa"/>
            <w:vAlign w:val="center"/>
          </w:tcPr>
          <w:p w14:paraId="33AC5523"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32 (5.5%)</w:t>
            </w:r>
          </w:p>
        </w:tc>
        <w:tc>
          <w:tcPr>
            <w:tcW w:w="1056" w:type="dxa"/>
            <w:vAlign w:val="center"/>
          </w:tcPr>
          <w:p w14:paraId="20600F4A" w14:textId="7DD46ACD"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 (6.3%)</w:t>
            </w:r>
          </w:p>
        </w:tc>
        <w:tc>
          <w:tcPr>
            <w:tcW w:w="1059" w:type="dxa"/>
            <w:vAlign w:val="center"/>
          </w:tcPr>
          <w:p w14:paraId="265897C6" w14:textId="59122578"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5 (2.8%)</w:t>
            </w:r>
          </w:p>
        </w:tc>
        <w:tc>
          <w:tcPr>
            <w:tcW w:w="1056" w:type="dxa"/>
            <w:vAlign w:val="center"/>
          </w:tcPr>
          <w:p w14:paraId="67013F29" w14:textId="0C83C683"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 (16.7%)</w:t>
            </w:r>
          </w:p>
        </w:tc>
        <w:tc>
          <w:tcPr>
            <w:tcW w:w="1191" w:type="dxa"/>
            <w:vAlign w:val="center"/>
          </w:tcPr>
          <w:p w14:paraId="0C682B4A" w14:textId="3663390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 (3.8%)</w:t>
            </w:r>
          </w:p>
        </w:tc>
        <w:tc>
          <w:tcPr>
            <w:tcW w:w="1056" w:type="dxa"/>
            <w:vAlign w:val="center"/>
          </w:tcPr>
          <w:p w14:paraId="60CEAE55" w14:textId="5AD4DA0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3 (12.0%)</w:t>
            </w:r>
          </w:p>
        </w:tc>
        <w:tc>
          <w:tcPr>
            <w:tcW w:w="1058" w:type="dxa"/>
            <w:tcBorders>
              <w:right w:val="single" w:sz="4" w:space="0" w:color="auto"/>
            </w:tcBorders>
            <w:vAlign w:val="center"/>
          </w:tcPr>
          <w:p w14:paraId="695CA71F" w14:textId="32BD2B31"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 (3.8%)</w:t>
            </w:r>
          </w:p>
        </w:tc>
      </w:tr>
      <w:tr w:rsidR="0012752D" w:rsidRPr="0012752D" w14:paraId="004E1E15" w14:textId="2757EC0E" w:rsidTr="002064C7">
        <w:trPr>
          <w:gridAfter w:val="1"/>
          <w:cnfStyle w:val="000000100000" w:firstRow="0" w:lastRow="0" w:firstColumn="0" w:lastColumn="0" w:oddVBand="0" w:evenVBand="0" w:oddHBand="1" w:evenHBand="0" w:firstRowFirstColumn="0" w:firstRowLastColumn="0" w:lastRowFirstColumn="0" w:lastRowLastColumn="0"/>
          <w:wAfter w:w="22" w:type="dxa"/>
          <w:trHeight w:val="121"/>
        </w:trPr>
        <w:tc>
          <w:tcPr>
            <w:tcW w:w="1843" w:type="dxa"/>
            <w:tcBorders>
              <w:left w:val="single" w:sz="4" w:space="0" w:color="auto"/>
            </w:tcBorders>
            <w:vAlign w:val="center"/>
          </w:tcPr>
          <w:p w14:paraId="562B3727" w14:textId="553624D6"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Transfer to other hospital/facility</w:t>
            </w:r>
          </w:p>
        </w:tc>
        <w:tc>
          <w:tcPr>
            <w:tcW w:w="1154" w:type="dxa"/>
            <w:vAlign w:val="center"/>
          </w:tcPr>
          <w:p w14:paraId="50C42C47"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5 (4.5%)</w:t>
            </w:r>
          </w:p>
        </w:tc>
        <w:tc>
          <w:tcPr>
            <w:tcW w:w="1102" w:type="dxa"/>
            <w:vAlign w:val="center"/>
          </w:tcPr>
          <w:p w14:paraId="10E3700B"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49 (8.4%)</w:t>
            </w:r>
          </w:p>
        </w:tc>
        <w:tc>
          <w:tcPr>
            <w:tcW w:w="1056" w:type="dxa"/>
            <w:vAlign w:val="center"/>
          </w:tcPr>
          <w:p w14:paraId="055BC004" w14:textId="2834551F"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 (8.3%)</w:t>
            </w:r>
          </w:p>
        </w:tc>
        <w:tc>
          <w:tcPr>
            <w:tcW w:w="1059" w:type="dxa"/>
            <w:vAlign w:val="center"/>
          </w:tcPr>
          <w:p w14:paraId="7524FA15" w14:textId="7AB248A5"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 (4.5%)</w:t>
            </w:r>
          </w:p>
        </w:tc>
        <w:tc>
          <w:tcPr>
            <w:tcW w:w="1056" w:type="dxa"/>
            <w:vAlign w:val="center"/>
          </w:tcPr>
          <w:p w14:paraId="0FCDABA3" w14:textId="178F862E"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 (4.2%)</w:t>
            </w:r>
          </w:p>
        </w:tc>
        <w:tc>
          <w:tcPr>
            <w:tcW w:w="1191" w:type="dxa"/>
            <w:vAlign w:val="center"/>
          </w:tcPr>
          <w:p w14:paraId="35971C58" w14:textId="781B54DF"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7 (4.5%)</w:t>
            </w:r>
          </w:p>
        </w:tc>
        <w:tc>
          <w:tcPr>
            <w:tcW w:w="1056" w:type="dxa"/>
            <w:vAlign w:val="center"/>
          </w:tcPr>
          <w:p w14:paraId="2EE6CD4E" w14:textId="1E2EB8D1"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 (4.0%)</w:t>
            </w:r>
          </w:p>
        </w:tc>
        <w:tc>
          <w:tcPr>
            <w:tcW w:w="1058" w:type="dxa"/>
            <w:tcBorders>
              <w:right w:val="single" w:sz="4" w:space="0" w:color="auto"/>
            </w:tcBorders>
            <w:vAlign w:val="center"/>
          </w:tcPr>
          <w:p w14:paraId="455E0173" w14:textId="0174DE61"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15 (7.2%)</w:t>
            </w:r>
          </w:p>
        </w:tc>
      </w:tr>
      <w:tr w:rsidR="00252AF8" w:rsidRPr="0012752D" w14:paraId="1876E04E" w14:textId="046D7E36" w:rsidTr="002064C7">
        <w:trPr>
          <w:gridAfter w:val="1"/>
          <w:wAfter w:w="22" w:type="dxa"/>
          <w:trHeight w:val="128"/>
        </w:trPr>
        <w:tc>
          <w:tcPr>
            <w:tcW w:w="1843" w:type="dxa"/>
            <w:tcBorders>
              <w:left w:val="single" w:sz="4" w:space="0" w:color="auto"/>
            </w:tcBorders>
            <w:vAlign w:val="center"/>
          </w:tcPr>
          <w:p w14:paraId="4FE4B510" w14:textId="632D34A0"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Transfer to rehabilitation</w:t>
            </w:r>
          </w:p>
        </w:tc>
        <w:tc>
          <w:tcPr>
            <w:tcW w:w="1154" w:type="dxa"/>
            <w:vAlign w:val="center"/>
          </w:tcPr>
          <w:p w14:paraId="54CF291C"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3 (2.7%)</w:t>
            </w:r>
          </w:p>
        </w:tc>
        <w:tc>
          <w:tcPr>
            <w:tcW w:w="1102" w:type="dxa"/>
            <w:vAlign w:val="center"/>
          </w:tcPr>
          <w:p w14:paraId="2A68FB21"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26 (4.5%)</w:t>
            </w:r>
          </w:p>
        </w:tc>
        <w:tc>
          <w:tcPr>
            <w:tcW w:w="1056" w:type="dxa"/>
            <w:vAlign w:val="center"/>
          </w:tcPr>
          <w:p w14:paraId="1A30B6F9" w14:textId="2499DF99"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 (2.1%)</w:t>
            </w:r>
          </w:p>
        </w:tc>
        <w:tc>
          <w:tcPr>
            <w:tcW w:w="1059" w:type="dxa"/>
            <w:vAlign w:val="center"/>
          </w:tcPr>
          <w:p w14:paraId="1E682310" w14:textId="3E23BB96"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4 (2.3%)</w:t>
            </w:r>
          </w:p>
        </w:tc>
        <w:tc>
          <w:tcPr>
            <w:tcW w:w="1056" w:type="dxa"/>
            <w:vAlign w:val="center"/>
          </w:tcPr>
          <w:p w14:paraId="51ECDAA4" w14:textId="4B93D7C3"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191" w:type="dxa"/>
            <w:vAlign w:val="center"/>
          </w:tcPr>
          <w:p w14:paraId="578D4047" w14:textId="01C92B23"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056" w:type="dxa"/>
            <w:vAlign w:val="center"/>
          </w:tcPr>
          <w:p w14:paraId="3FDF0B7D" w14:textId="7B83E868"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058" w:type="dxa"/>
            <w:tcBorders>
              <w:right w:val="single" w:sz="4" w:space="0" w:color="auto"/>
            </w:tcBorders>
            <w:vAlign w:val="center"/>
          </w:tcPr>
          <w:p w14:paraId="0AA1B338" w14:textId="0E77CE54"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6 (2.9%)</w:t>
            </w:r>
          </w:p>
        </w:tc>
      </w:tr>
      <w:tr w:rsidR="0012752D" w:rsidRPr="0012752D" w14:paraId="16655665" w14:textId="59119F26" w:rsidTr="002064C7">
        <w:trPr>
          <w:gridAfter w:val="1"/>
          <w:cnfStyle w:val="000000100000" w:firstRow="0" w:lastRow="0" w:firstColumn="0" w:lastColumn="0" w:oddVBand="0" w:evenVBand="0" w:oddHBand="1" w:evenHBand="0" w:firstRowFirstColumn="0" w:firstRowLastColumn="0" w:lastRowFirstColumn="0" w:lastRowLastColumn="0"/>
          <w:wAfter w:w="22" w:type="dxa"/>
          <w:trHeight w:val="121"/>
        </w:trPr>
        <w:tc>
          <w:tcPr>
            <w:tcW w:w="1843" w:type="dxa"/>
            <w:tcBorders>
              <w:left w:val="single" w:sz="4" w:space="0" w:color="auto"/>
            </w:tcBorders>
            <w:vAlign w:val="center"/>
          </w:tcPr>
          <w:p w14:paraId="2387D679" w14:textId="7A198123"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Discharged home</w:t>
            </w:r>
          </w:p>
        </w:tc>
        <w:tc>
          <w:tcPr>
            <w:tcW w:w="1154" w:type="dxa"/>
            <w:vAlign w:val="center"/>
          </w:tcPr>
          <w:p w14:paraId="61AAD9F6"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52 (46.4%)</w:t>
            </w:r>
          </w:p>
        </w:tc>
        <w:tc>
          <w:tcPr>
            <w:tcW w:w="1102" w:type="dxa"/>
            <w:vAlign w:val="center"/>
          </w:tcPr>
          <w:p w14:paraId="72789126"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362 (62.1%)</w:t>
            </w:r>
          </w:p>
        </w:tc>
        <w:tc>
          <w:tcPr>
            <w:tcW w:w="1056" w:type="dxa"/>
            <w:vAlign w:val="center"/>
          </w:tcPr>
          <w:p w14:paraId="398A3E13" w14:textId="7BE03C82"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28 (58.3%)</w:t>
            </w:r>
          </w:p>
        </w:tc>
        <w:tc>
          <w:tcPr>
            <w:tcW w:w="1059" w:type="dxa"/>
            <w:vAlign w:val="center"/>
          </w:tcPr>
          <w:p w14:paraId="10AFE156" w14:textId="647E5151"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128 (72.7%)</w:t>
            </w:r>
          </w:p>
        </w:tc>
        <w:tc>
          <w:tcPr>
            <w:tcW w:w="1056" w:type="dxa"/>
            <w:vAlign w:val="center"/>
          </w:tcPr>
          <w:p w14:paraId="5C9014BF" w14:textId="1D888248"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13 (54.2%)</w:t>
            </w:r>
          </w:p>
        </w:tc>
        <w:tc>
          <w:tcPr>
            <w:tcW w:w="1191" w:type="dxa"/>
            <w:vAlign w:val="center"/>
          </w:tcPr>
          <w:p w14:paraId="3537AEEE" w14:textId="18FAD03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123 (78.8%)</w:t>
            </w:r>
          </w:p>
        </w:tc>
        <w:tc>
          <w:tcPr>
            <w:tcW w:w="1056" w:type="dxa"/>
            <w:vAlign w:val="center"/>
          </w:tcPr>
          <w:p w14:paraId="2D8A1A4D" w14:textId="253324CA"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17 (68.0%)</w:t>
            </w:r>
          </w:p>
        </w:tc>
        <w:tc>
          <w:tcPr>
            <w:tcW w:w="1058" w:type="dxa"/>
            <w:tcBorders>
              <w:right w:val="single" w:sz="4" w:space="0" w:color="auto"/>
            </w:tcBorders>
            <w:vAlign w:val="center"/>
          </w:tcPr>
          <w:p w14:paraId="5967DAF4" w14:textId="36171CAB"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160 (76.9%)</w:t>
            </w:r>
          </w:p>
        </w:tc>
      </w:tr>
      <w:tr w:rsidR="00252AF8" w:rsidRPr="0012752D" w14:paraId="1A66539E" w14:textId="463B04E7" w:rsidTr="002064C7">
        <w:trPr>
          <w:gridAfter w:val="1"/>
          <w:wAfter w:w="22" w:type="dxa"/>
          <w:trHeight w:val="121"/>
        </w:trPr>
        <w:tc>
          <w:tcPr>
            <w:tcW w:w="1843" w:type="dxa"/>
            <w:tcBorders>
              <w:left w:val="single" w:sz="4" w:space="0" w:color="auto"/>
            </w:tcBorders>
            <w:vAlign w:val="center"/>
          </w:tcPr>
          <w:p w14:paraId="48B01045" w14:textId="1913C36E"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Dead‡- ICU</w:t>
            </w:r>
          </w:p>
        </w:tc>
        <w:tc>
          <w:tcPr>
            <w:tcW w:w="1154" w:type="dxa"/>
            <w:vAlign w:val="center"/>
          </w:tcPr>
          <w:p w14:paraId="63BF9F52"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7 (6.3%)</w:t>
            </w:r>
          </w:p>
        </w:tc>
        <w:tc>
          <w:tcPr>
            <w:tcW w:w="1102" w:type="dxa"/>
            <w:vAlign w:val="center"/>
          </w:tcPr>
          <w:p w14:paraId="494FEDE5"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46 (7.9%)</w:t>
            </w:r>
          </w:p>
        </w:tc>
        <w:tc>
          <w:tcPr>
            <w:tcW w:w="1056" w:type="dxa"/>
            <w:vAlign w:val="center"/>
          </w:tcPr>
          <w:p w14:paraId="427D0F80" w14:textId="5D0287A3"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 (4.2%)</w:t>
            </w:r>
          </w:p>
        </w:tc>
        <w:tc>
          <w:tcPr>
            <w:tcW w:w="1059" w:type="dxa"/>
            <w:vAlign w:val="center"/>
          </w:tcPr>
          <w:p w14:paraId="129BE3A1" w14:textId="451A51AE"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12 (6.8%)</w:t>
            </w:r>
          </w:p>
        </w:tc>
        <w:tc>
          <w:tcPr>
            <w:tcW w:w="1056" w:type="dxa"/>
            <w:vAlign w:val="center"/>
          </w:tcPr>
          <w:p w14:paraId="1CEE3E7B" w14:textId="6912801B"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191" w:type="dxa"/>
            <w:vAlign w:val="center"/>
          </w:tcPr>
          <w:p w14:paraId="61FD15FE" w14:textId="05C97982"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8 (5.1%)</w:t>
            </w:r>
          </w:p>
        </w:tc>
        <w:tc>
          <w:tcPr>
            <w:tcW w:w="1056" w:type="dxa"/>
            <w:vAlign w:val="center"/>
          </w:tcPr>
          <w:p w14:paraId="2B973E0D" w14:textId="2FB3AA4F"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058" w:type="dxa"/>
            <w:tcBorders>
              <w:right w:val="single" w:sz="4" w:space="0" w:color="auto"/>
            </w:tcBorders>
            <w:vAlign w:val="center"/>
          </w:tcPr>
          <w:p w14:paraId="56FD2456" w14:textId="1A99588A"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9 (4.3%)</w:t>
            </w:r>
          </w:p>
        </w:tc>
      </w:tr>
      <w:tr w:rsidR="0012752D" w:rsidRPr="0012752D" w14:paraId="00852CF4" w14:textId="3A2B39D6" w:rsidTr="002064C7">
        <w:trPr>
          <w:gridAfter w:val="1"/>
          <w:cnfStyle w:val="000000100000" w:firstRow="0" w:lastRow="0" w:firstColumn="0" w:lastColumn="0" w:oddVBand="0" w:evenVBand="0" w:oddHBand="1" w:evenHBand="0" w:firstRowFirstColumn="0" w:firstRowLastColumn="0" w:lastRowFirstColumn="0" w:lastRowLastColumn="0"/>
          <w:wAfter w:w="22" w:type="dxa"/>
          <w:trHeight w:val="128"/>
        </w:trPr>
        <w:tc>
          <w:tcPr>
            <w:tcW w:w="1843" w:type="dxa"/>
            <w:tcBorders>
              <w:left w:val="single" w:sz="4" w:space="0" w:color="auto"/>
            </w:tcBorders>
            <w:vAlign w:val="center"/>
          </w:tcPr>
          <w:p w14:paraId="62A29DAD" w14:textId="0E12E987"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hAnsi="Helvetica"/>
                <w:color w:val="000000" w:themeColor="text1"/>
                <w:sz w:val="16"/>
                <w:szCs w:val="16"/>
              </w:rPr>
            </w:pPr>
            <w:r w:rsidRPr="0012752D">
              <w:rPr>
                <w:rFonts w:ascii="Helvetica" w:eastAsia="Arial" w:hAnsi="Helvetica" w:cs="Arial"/>
                <w:color w:val="000000" w:themeColor="text1"/>
                <w:sz w:val="16"/>
                <w:szCs w:val="16"/>
              </w:rPr>
              <w:t>Dead‡- Hospital Ward</w:t>
            </w:r>
          </w:p>
        </w:tc>
        <w:tc>
          <w:tcPr>
            <w:tcW w:w="1154" w:type="dxa"/>
            <w:vAlign w:val="center"/>
          </w:tcPr>
          <w:p w14:paraId="5FEBF9EE"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6 (5.4%)</w:t>
            </w:r>
          </w:p>
        </w:tc>
        <w:tc>
          <w:tcPr>
            <w:tcW w:w="1102" w:type="dxa"/>
            <w:vAlign w:val="center"/>
          </w:tcPr>
          <w:p w14:paraId="7AE00DFA"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hAnsi="Helvetica"/>
                <w:color w:val="000000" w:themeColor="text1"/>
                <w:sz w:val="16"/>
                <w:szCs w:val="16"/>
              </w:rPr>
            </w:pPr>
            <w:r w:rsidRPr="0012752D">
              <w:rPr>
                <w:rFonts w:ascii="Helvetica" w:eastAsia="Helvetica" w:hAnsi="Helvetica" w:cs="Helvetica"/>
                <w:color w:val="000000" w:themeColor="text1"/>
                <w:sz w:val="16"/>
                <w:szCs w:val="16"/>
              </w:rPr>
              <w:t>23 (3.9%)</w:t>
            </w:r>
          </w:p>
        </w:tc>
        <w:tc>
          <w:tcPr>
            <w:tcW w:w="1056" w:type="dxa"/>
            <w:vAlign w:val="center"/>
          </w:tcPr>
          <w:p w14:paraId="6E05C33C" w14:textId="1DBC5568"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059" w:type="dxa"/>
            <w:vAlign w:val="center"/>
          </w:tcPr>
          <w:p w14:paraId="0161BA91" w14:textId="5D253E69"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5 (2.8%)</w:t>
            </w:r>
          </w:p>
        </w:tc>
        <w:tc>
          <w:tcPr>
            <w:tcW w:w="1056" w:type="dxa"/>
            <w:vAlign w:val="center"/>
          </w:tcPr>
          <w:p w14:paraId="7381E4B3" w14:textId="1D4720B5"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1 (4.2%)</w:t>
            </w:r>
          </w:p>
        </w:tc>
        <w:tc>
          <w:tcPr>
            <w:tcW w:w="1191" w:type="dxa"/>
            <w:vAlign w:val="center"/>
          </w:tcPr>
          <w:p w14:paraId="016847D8" w14:textId="4CBE873C"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 (1.3%)</w:t>
            </w:r>
          </w:p>
        </w:tc>
        <w:tc>
          <w:tcPr>
            <w:tcW w:w="1056" w:type="dxa"/>
            <w:vAlign w:val="center"/>
          </w:tcPr>
          <w:p w14:paraId="42F1D6C8" w14:textId="07E676AF"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0 (0%)</w:t>
            </w:r>
          </w:p>
        </w:tc>
        <w:tc>
          <w:tcPr>
            <w:tcW w:w="1058" w:type="dxa"/>
            <w:tcBorders>
              <w:right w:val="single" w:sz="4" w:space="0" w:color="auto"/>
            </w:tcBorders>
            <w:vAlign w:val="center"/>
          </w:tcPr>
          <w:p w14:paraId="53AFDCF6" w14:textId="2F63D52B" w:rsidR="0012752D" w:rsidRPr="0012752D" w:rsidRDefault="0012752D" w:rsidP="0012752D">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2 (1.0%)</w:t>
            </w:r>
          </w:p>
        </w:tc>
      </w:tr>
      <w:tr w:rsidR="0012752D" w:rsidRPr="0012752D" w14:paraId="437105B7" w14:textId="77777777" w:rsidTr="0012752D">
        <w:trPr>
          <w:gridAfter w:val="1"/>
          <w:wAfter w:w="22" w:type="dxa"/>
          <w:trHeight w:val="128"/>
        </w:trPr>
        <w:tc>
          <w:tcPr>
            <w:tcW w:w="10575" w:type="dxa"/>
            <w:gridSpan w:val="9"/>
            <w:tcBorders>
              <w:top w:val="single" w:sz="4" w:space="0" w:color="auto"/>
              <w:left w:val="nil"/>
              <w:bottom w:val="single" w:sz="4" w:space="0" w:color="auto"/>
              <w:right w:val="nil"/>
            </w:tcBorders>
          </w:tcPr>
          <w:p w14:paraId="65DC2BB7"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Note: Includes 4 patients with viral co-infection of multiple pathogens in the severity reporting period and 26 patients with viral co-infection of multiple pathogens in the year to date for severity reporting.</w:t>
            </w:r>
          </w:p>
          <w:p w14:paraId="4A85F3DB"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*Patients who were admitted in intensive care/hospital wards with no discharge information for less than 90 days were assumed to have ongoing care in the hospital.</w:t>
            </w:r>
          </w:p>
          <w:p w14:paraId="0FE8F360" w14:textId="77777777"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†Patients who were admitted to intensive care/hospital wards for more than 90 days with no discharge information were treated as missing.</w:t>
            </w:r>
          </w:p>
          <w:p w14:paraId="19072DB4" w14:textId="76CD630B" w:rsidR="0012752D" w:rsidRPr="0012752D" w:rsidRDefault="0012752D" w:rsidP="0012752D">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themeColor="text1"/>
                <w:sz w:val="16"/>
                <w:szCs w:val="16"/>
              </w:rPr>
            </w:pPr>
            <w:r w:rsidRPr="0012752D">
              <w:rPr>
                <w:rFonts w:ascii="Helvetica" w:eastAsia="Helvetica" w:hAnsi="Helvetica" w:cs="Helvetica"/>
                <w:color w:val="000000" w:themeColor="text1"/>
                <w:sz w:val="16"/>
                <w:szCs w:val="16"/>
              </w:rPr>
              <w:t>‡Death may not reflect a death due to a respiratory pathogen.</w:t>
            </w:r>
          </w:p>
        </w:tc>
      </w:tr>
    </w:tbl>
    <w:p w14:paraId="70827C7B" w14:textId="77777777" w:rsidR="0012752D" w:rsidRDefault="0012752D" w:rsidP="003C32F8">
      <w:pPr>
        <w:pStyle w:val="Heading2"/>
        <w:jc w:val="both"/>
        <w:rPr>
          <w:rFonts w:ascii="Helvetica" w:hAnsi="Helvetica"/>
          <w:color w:val="000000" w:themeColor="text1"/>
        </w:rPr>
      </w:pPr>
      <w:bookmarkStart w:id="3" w:name="at-risk-populations"/>
      <w:bookmarkEnd w:id="0"/>
      <w:bookmarkEnd w:id="1"/>
      <w:bookmarkEnd w:id="2"/>
    </w:p>
    <w:p w14:paraId="4F746DA5" w14:textId="77777777" w:rsidR="0012752D" w:rsidRDefault="0012752D" w:rsidP="0012752D">
      <w:pPr>
        <w:pStyle w:val="BodyText"/>
      </w:pPr>
    </w:p>
    <w:p w14:paraId="33B13B69" w14:textId="77777777" w:rsidR="0012752D" w:rsidRDefault="0012752D" w:rsidP="0012752D">
      <w:pPr>
        <w:pStyle w:val="BodyText"/>
      </w:pPr>
    </w:p>
    <w:p w14:paraId="570C01A1" w14:textId="77777777" w:rsidR="0012752D" w:rsidRDefault="0012752D" w:rsidP="0012752D">
      <w:pPr>
        <w:pStyle w:val="BodyText"/>
      </w:pPr>
    </w:p>
    <w:p w14:paraId="23864A75" w14:textId="77777777" w:rsidR="0012752D" w:rsidRDefault="0012752D" w:rsidP="0012752D">
      <w:pPr>
        <w:pStyle w:val="BodyText"/>
      </w:pPr>
    </w:p>
    <w:p w14:paraId="2654363F" w14:textId="77777777" w:rsidR="00105338" w:rsidRDefault="00105338" w:rsidP="0012752D">
      <w:pPr>
        <w:pStyle w:val="BodyText"/>
      </w:pPr>
    </w:p>
    <w:p w14:paraId="4AE18B4A" w14:textId="77777777" w:rsidR="00105338" w:rsidRDefault="00105338" w:rsidP="0012752D">
      <w:pPr>
        <w:pStyle w:val="BodyText"/>
      </w:pPr>
    </w:p>
    <w:p w14:paraId="0768D8C4" w14:textId="77777777" w:rsidR="00105338" w:rsidRPr="0012752D" w:rsidRDefault="00105338" w:rsidP="0012752D">
      <w:pPr>
        <w:pStyle w:val="BodyText"/>
      </w:pPr>
    </w:p>
    <w:p w14:paraId="6278ABCB" w14:textId="7CFC2774" w:rsidR="00906F76" w:rsidRPr="0012752D" w:rsidRDefault="00000000" w:rsidP="003C32F8">
      <w:pPr>
        <w:pStyle w:val="Heading2"/>
        <w:jc w:val="both"/>
        <w:rPr>
          <w:rFonts w:ascii="Helvetica" w:hAnsi="Helvetica"/>
          <w:color w:val="000000" w:themeColor="text1"/>
        </w:rPr>
      </w:pPr>
      <w:r w:rsidRPr="0012752D">
        <w:rPr>
          <w:rFonts w:ascii="Helvetica" w:hAnsi="Helvetica"/>
          <w:color w:val="000000" w:themeColor="text1"/>
        </w:rPr>
        <w:lastRenderedPageBreak/>
        <w:t>3. At-risk populations</w:t>
      </w:r>
    </w:p>
    <w:p w14:paraId="4A636AA7" w14:textId="77777777" w:rsidR="00906F76" w:rsidRPr="0012752D" w:rsidRDefault="00000000" w:rsidP="003C32F8">
      <w:pPr>
        <w:pStyle w:val="FirstParagraph"/>
        <w:jc w:val="both"/>
        <w:rPr>
          <w:rFonts w:ascii="Helvetica" w:hAnsi="Helvetica"/>
          <w:color w:val="000000" w:themeColor="text1"/>
        </w:rPr>
      </w:pPr>
      <w:r w:rsidRPr="0012752D">
        <w:rPr>
          <w:rFonts w:ascii="Helvetica" w:hAnsi="Helvetica"/>
          <w:color w:val="000000" w:themeColor="text1"/>
        </w:rPr>
        <w:t>At-risk populations are people who may be more susceptible to infection with circulating respiratory viruses and/or who may be more likely to experience severe outcomes (hospitalisations, intensive care admissions, or deaths) from their infection. At-risk populations include those aged 60 years and over, Aboriginal and Torres Strait Islander people, people from culturally and linguistically diverse backgrounds, people with low socioeconomic status, people living in remote communities, and people with disability or chronic health conditions including immunocompromise.</w:t>
      </w:r>
    </w:p>
    <w:p w14:paraId="62FF75B0" w14:textId="77777777" w:rsidR="00906F76" w:rsidRPr="0012752D" w:rsidRDefault="00000000" w:rsidP="003C32F8">
      <w:pPr>
        <w:pStyle w:val="Heading3"/>
        <w:jc w:val="both"/>
        <w:rPr>
          <w:rFonts w:ascii="Helvetica" w:hAnsi="Helvetica"/>
          <w:color w:val="000000" w:themeColor="text1"/>
        </w:rPr>
      </w:pPr>
      <w:bookmarkStart w:id="4" w:name="hospital-based-surveillance-1"/>
      <w:r w:rsidRPr="0012752D">
        <w:rPr>
          <w:rFonts w:ascii="Helvetica" w:hAnsi="Helvetica"/>
          <w:color w:val="000000" w:themeColor="text1"/>
        </w:rPr>
        <w:t>3.1. Hospital-based surveillance</w:t>
      </w:r>
    </w:p>
    <w:p w14:paraId="7D52C5CA" w14:textId="77777777" w:rsidR="00906F76" w:rsidRPr="0012752D" w:rsidRDefault="00000000" w:rsidP="003C32F8">
      <w:pPr>
        <w:pStyle w:val="Heading4"/>
        <w:jc w:val="both"/>
        <w:rPr>
          <w:rFonts w:ascii="Helvetica" w:hAnsi="Helvetica"/>
          <w:color w:val="000000" w:themeColor="text1"/>
        </w:rPr>
      </w:pPr>
      <w:bookmarkStart w:id="5" w:name="sprint-sari-australia-1"/>
      <w:r w:rsidRPr="0012752D">
        <w:rPr>
          <w:rFonts w:ascii="Helvetica" w:hAnsi="Helvetica"/>
          <w:color w:val="000000" w:themeColor="text1"/>
        </w:rPr>
        <w:t>SPRINT-SARI Australia</w:t>
      </w:r>
    </w:p>
    <w:p w14:paraId="6B7AC2F4" w14:textId="77777777" w:rsidR="00906F76" w:rsidRPr="0012752D" w:rsidRDefault="00000000" w:rsidP="003C32F8">
      <w:pPr>
        <w:pStyle w:val="Compact"/>
        <w:numPr>
          <w:ilvl w:val="0"/>
          <w:numId w:val="4"/>
        </w:numPr>
        <w:jc w:val="both"/>
        <w:rPr>
          <w:rFonts w:ascii="Helvetica" w:hAnsi="Helvetica"/>
          <w:color w:val="000000" w:themeColor="text1"/>
        </w:rPr>
      </w:pPr>
      <w:r w:rsidRPr="0012752D">
        <w:rPr>
          <w:rFonts w:ascii="Helvetica" w:hAnsi="Helvetica"/>
          <w:color w:val="000000" w:themeColor="text1"/>
        </w:rPr>
        <w:t>In this period for severity reporting (20-05-2024 to 16-06-2024), there have been 205 SARI patients admitted to a participating SPRINT-SARI intensive care. The median age at admission was 63 years (IQR: 48–73 years) and 8.3% (17/205) of SARI admissions were among Aboriginal and Torres Strait Islander people.</w:t>
      </w:r>
      <w:r w:rsidRPr="0012752D">
        <w:rPr>
          <w:rFonts w:ascii="Helvetica" w:hAnsi="Helvetica"/>
          <w:color w:val="000000" w:themeColor="text1"/>
        </w:rPr>
        <w:br/>
      </w:r>
    </w:p>
    <w:p w14:paraId="5F95EC1F" w14:textId="38D6DDCD" w:rsidR="00906F76" w:rsidRPr="0012752D" w:rsidRDefault="00000000" w:rsidP="003C32F8">
      <w:pPr>
        <w:pStyle w:val="Compact"/>
        <w:numPr>
          <w:ilvl w:val="0"/>
          <w:numId w:val="4"/>
        </w:numPr>
        <w:jc w:val="both"/>
        <w:rPr>
          <w:rFonts w:ascii="Helvetica" w:hAnsi="Helvetica"/>
          <w:color w:val="000000" w:themeColor="text1"/>
        </w:rPr>
      </w:pPr>
      <w:r w:rsidRPr="0012752D">
        <w:rPr>
          <w:rFonts w:ascii="Helvetica" w:hAnsi="Helvetica"/>
          <w:color w:val="000000" w:themeColor="text1"/>
        </w:rPr>
        <w:t xml:space="preserve">In the year to date for severity reporting (01-01-2024 to 16-06-2024), there have been 1096 SARI patients admitted to a participating SPRINT-SARI intensive care. The median age at admission was 59 years (IQR: 32–71 years) and </w:t>
      </w:r>
      <w:r w:rsidR="00252AF8" w:rsidRPr="00252AF8">
        <w:rPr>
          <w:rFonts w:ascii="Helvetica" w:hAnsi="Helvetica"/>
          <w:color w:val="000000" w:themeColor="text1"/>
        </w:rPr>
        <w:t>55.5% (608/1096)</w:t>
      </w:r>
      <w:r w:rsidRPr="0012752D">
        <w:rPr>
          <w:rFonts w:ascii="Helvetica" w:hAnsi="Helvetica"/>
          <w:color w:val="000000" w:themeColor="text1"/>
        </w:rPr>
        <w:t xml:space="preserve"> of SARI admissions were male. Approximately, 8.3% (91/1096) of SARI patients admitted to a participating SPRINT-SARI intensive care were among Aboriginal and Torres Strait Islander people.</w:t>
      </w:r>
      <w:r w:rsidRPr="0012752D">
        <w:rPr>
          <w:rFonts w:ascii="Helvetica" w:hAnsi="Helvetica"/>
          <w:color w:val="000000" w:themeColor="text1"/>
        </w:rPr>
        <w:br/>
      </w:r>
    </w:p>
    <w:p w14:paraId="1590473E" w14:textId="098D66A3" w:rsidR="00906F76" w:rsidRDefault="00000000" w:rsidP="003C32F8">
      <w:pPr>
        <w:pStyle w:val="Compact"/>
        <w:numPr>
          <w:ilvl w:val="0"/>
          <w:numId w:val="4"/>
        </w:numPr>
        <w:jc w:val="both"/>
        <w:rPr>
          <w:rFonts w:ascii="Helvetica" w:hAnsi="Helvetica"/>
          <w:color w:val="000000" w:themeColor="text1"/>
        </w:rPr>
      </w:pPr>
      <w:r w:rsidRPr="0012752D">
        <w:rPr>
          <w:rFonts w:ascii="Helvetica" w:hAnsi="Helvetica"/>
          <w:color w:val="000000" w:themeColor="text1"/>
        </w:rPr>
        <w:t>In the year to date for severity reporting, there have been 105 SARI patients admitted to a participating SPRINT-SARI intensive care who died in hospital; 28.6% (30/105) were aged 60–69 years, 33.3% (35/105) were aged 70–79 years, 14.3%</w:t>
      </w:r>
      <w:r w:rsidR="00252AF8">
        <w:rPr>
          <w:rFonts w:ascii="Helvetica" w:hAnsi="Helvetica"/>
          <w:color w:val="000000" w:themeColor="text1"/>
        </w:rPr>
        <w:t xml:space="preserve"> </w:t>
      </w:r>
      <w:r w:rsidRPr="0012752D">
        <w:rPr>
          <w:rFonts w:ascii="Helvetica" w:hAnsi="Helvetica"/>
          <w:color w:val="000000" w:themeColor="text1"/>
        </w:rPr>
        <w:t xml:space="preserve">(15/105) were aged 80–89 years, and 4.8% (5/105) were aged 90 years or over (Figure </w:t>
      </w:r>
      <w:r w:rsidR="00105338">
        <w:rPr>
          <w:rFonts w:ascii="Helvetica" w:hAnsi="Helvetica"/>
          <w:color w:val="000000" w:themeColor="text1"/>
        </w:rPr>
        <w:t>2</w:t>
      </w:r>
      <w:r w:rsidRPr="0012752D">
        <w:rPr>
          <w:rFonts w:ascii="Helvetica" w:hAnsi="Helvetica"/>
          <w:color w:val="000000" w:themeColor="text1"/>
        </w:rPr>
        <w:t>).</w:t>
      </w:r>
    </w:p>
    <w:p w14:paraId="4E8A0398" w14:textId="77777777" w:rsidR="0012752D" w:rsidRDefault="0012752D" w:rsidP="0012752D">
      <w:pPr>
        <w:pStyle w:val="Compact"/>
        <w:jc w:val="both"/>
        <w:rPr>
          <w:rFonts w:ascii="Helvetica" w:hAnsi="Helvetica"/>
          <w:color w:val="000000" w:themeColor="text1"/>
        </w:rPr>
      </w:pPr>
    </w:p>
    <w:p w14:paraId="0CC1D15B" w14:textId="77777777" w:rsidR="0012752D" w:rsidRDefault="0012752D" w:rsidP="0012752D">
      <w:pPr>
        <w:pStyle w:val="Compact"/>
        <w:jc w:val="both"/>
        <w:rPr>
          <w:rFonts w:ascii="Helvetica" w:hAnsi="Helvetica"/>
          <w:color w:val="000000" w:themeColor="text1"/>
        </w:rPr>
      </w:pPr>
    </w:p>
    <w:p w14:paraId="677AAA3B" w14:textId="77777777" w:rsidR="0012752D" w:rsidRDefault="0012752D" w:rsidP="0012752D">
      <w:pPr>
        <w:pStyle w:val="Compact"/>
        <w:jc w:val="both"/>
        <w:rPr>
          <w:rFonts w:ascii="Helvetica" w:hAnsi="Helvetica"/>
          <w:color w:val="000000" w:themeColor="text1"/>
        </w:rPr>
      </w:pPr>
    </w:p>
    <w:p w14:paraId="53D8B603" w14:textId="77777777" w:rsidR="0012752D" w:rsidRDefault="0012752D" w:rsidP="0012752D">
      <w:pPr>
        <w:pStyle w:val="Compact"/>
        <w:jc w:val="both"/>
        <w:rPr>
          <w:rFonts w:ascii="Helvetica" w:hAnsi="Helvetica"/>
          <w:color w:val="000000" w:themeColor="text1"/>
        </w:rPr>
      </w:pPr>
    </w:p>
    <w:p w14:paraId="05C39EC9" w14:textId="77777777" w:rsidR="0012752D" w:rsidRDefault="0012752D" w:rsidP="0012752D">
      <w:pPr>
        <w:pStyle w:val="Compact"/>
        <w:jc w:val="both"/>
        <w:rPr>
          <w:rFonts w:ascii="Helvetica" w:hAnsi="Helvetica"/>
          <w:color w:val="000000" w:themeColor="text1"/>
        </w:rPr>
      </w:pPr>
    </w:p>
    <w:p w14:paraId="265CB13D" w14:textId="77777777" w:rsidR="0012752D" w:rsidRDefault="0012752D" w:rsidP="0012752D">
      <w:pPr>
        <w:pStyle w:val="Compact"/>
        <w:jc w:val="both"/>
        <w:rPr>
          <w:rFonts w:ascii="Helvetica" w:hAnsi="Helvetica"/>
          <w:color w:val="000000" w:themeColor="text1"/>
        </w:rPr>
      </w:pPr>
    </w:p>
    <w:p w14:paraId="4CF96CCF" w14:textId="77777777" w:rsidR="0012752D" w:rsidRDefault="0012752D" w:rsidP="0012752D">
      <w:pPr>
        <w:pStyle w:val="Compact"/>
        <w:jc w:val="both"/>
        <w:rPr>
          <w:rFonts w:ascii="Helvetica" w:hAnsi="Helvetica"/>
          <w:color w:val="000000" w:themeColor="text1"/>
        </w:rPr>
      </w:pPr>
    </w:p>
    <w:p w14:paraId="25510451" w14:textId="77777777" w:rsidR="0012752D" w:rsidRDefault="0012752D" w:rsidP="0012752D">
      <w:pPr>
        <w:pStyle w:val="Compact"/>
        <w:jc w:val="both"/>
        <w:rPr>
          <w:rFonts w:ascii="Helvetica" w:hAnsi="Helvetica"/>
          <w:color w:val="000000" w:themeColor="text1"/>
        </w:rPr>
      </w:pPr>
    </w:p>
    <w:p w14:paraId="3D5DDC83" w14:textId="77777777" w:rsidR="0012752D" w:rsidRDefault="0012752D" w:rsidP="0012752D">
      <w:pPr>
        <w:pStyle w:val="Compact"/>
        <w:jc w:val="both"/>
        <w:rPr>
          <w:rFonts w:ascii="Helvetica" w:hAnsi="Helvetica"/>
          <w:color w:val="000000" w:themeColor="text1"/>
        </w:rPr>
      </w:pPr>
    </w:p>
    <w:p w14:paraId="634A3B29" w14:textId="77777777" w:rsidR="0012752D" w:rsidRDefault="0012752D" w:rsidP="0012752D">
      <w:pPr>
        <w:pStyle w:val="Compact"/>
        <w:jc w:val="both"/>
        <w:rPr>
          <w:rFonts w:ascii="Helvetica" w:hAnsi="Helvetica"/>
          <w:color w:val="000000" w:themeColor="text1"/>
        </w:rPr>
      </w:pPr>
    </w:p>
    <w:p w14:paraId="2EB3C93C" w14:textId="77777777" w:rsidR="00105338" w:rsidRDefault="00105338" w:rsidP="0012752D">
      <w:pPr>
        <w:pStyle w:val="Compact"/>
        <w:jc w:val="both"/>
        <w:rPr>
          <w:rFonts w:ascii="Helvetica" w:hAnsi="Helvetica"/>
          <w:color w:val="000000" w:themeColor="text1"/>
        </w:rPr>
      </w:pPr>
    </w:p>
    <w:p w14:paraId="5601A64F" w14:textId="77777777" w:rsidR="00105338" w:rsidRDefault="00105338" w:rsidP="0012752D">
      <w:pPr>
        <w:pStyle w:val="Compact"/>
        <w:jc w:val="both"/>
        <w:rPr>
          <w:rFonts w:ascii="Helvetica" w:hAnsi="Helvetica"/>
          <w:color w:val="000000" w:themeColor="text1"/>
        </w:rPr>
      </w:pPr>
    </w:p>
    <w:p w14:paraId="36DEDCA0" w14:textId="77777777" w:rsidR="00105338" w:rsidRDefault="00105338" w:rsidP="0012752D">
      <w:pPr>
        <w:pStyle w:val="Compact"/>
        <w:jc w:val="both"/>
        <w:rPr>
          <w:rFonts w:ascii="Helvetica" w:hAnsi="Helvetica"/>
          <w:color w:val="000000" w:themeColor="text1"/>
        </w:rPr>
      </w:pPr>
    </w:p>
    <w:p w14:paraId="2C9F42B2" w14:textId="77777777" w:rsidR="00105338" w:rsidRDefault="00105338" w:rsidP="0012752D">
      <w:pPr>
        <w:pStyle w:val="Compact"/>
        <w:jc w:val="both"/>
        <w:rPr>
          <w:rFonts w:ascii="Helvetica" w:hAnsi="Helvetica"/>
          <w:color w:val="000000" w:themeColor="text1"/>
        </w:rPr>
      </w:pPr>
    </w:p>
    <w:p w14:paraId="2C0E811F" w14:textId="77777777" w:rsidR="00105338" w:rsidRDefault="00105338" w:rsidP="0012752D">
      <w:pPr>
        <w:pStyle w:val="Compact"/>
        <w:jc w:val="both"/>
        <w:rPr>
          <w:rFonts w:ascii="Helvetica" w:hAnsi="Helvetica"/>
          <w:color w:val="000000" w:themeColor="text1"/>
        </w:rPr>
      </w:pPr>
    </w:p>
    <w:p w14:paraId="17C54CC3" w14:textId="77777777" w:rsidR="0012752D" w:rsidRDefault="0012752D" w:rsidP="0012752D">
      <w:pPr>
        <w:pStyle w:val="Compact"/>
        <w:jc w:val="both"/>
        <w:rPr>
          <w:rFonts w:ascii="Helvetica" w:hAnsi="Helvetica"/>
          <w:color w:val="000000" w:themeColor="text1"/>
        </w:rPr>
      </w:pPr>
    </w:p>
    <w:p w14:paraId="3C825904" w14:textId="77777777" w:rsidR="0012752D" w:rsidRDefault="0012752D" w:rsidP="0012752D">
      <w:pPr>
        <w:pStyle w:val="Compact"/>
        <w:jc w:val="both"/>
        <w:rPr>
          <w:rFonts w:ascii="Helvetica" w:hAnsi="Helvetica"/>
          <w:color w:val="000000" w:themeColor="text1"/>
        </w:rPr>
      </w:pPr>
    </w:p>
    <w:p w14:paraId="0E748A9D" w14:textId="77777777" w:rsidR="0012752D" w:rsidRPr="0012752D" w:rsidRDefault="0012752D" w:rsidP="0012752D">
      <w:pPr>
        <w:pStyle w:val="Compact"/>
        <w:jc w:val="both"/>
        <w:rPr>
          <w:rFonts w:ascii="Helvetica" w:hAnsi="Helvetica"/>
          <w:color w:val="000000" w:themeColor="text1"/>
        </w:rPr>
      </w:pPr>
    </w:p>
    <w:tbl>
      <w:tblPr>
        <w:tblStyle w:val="ListTable2-Accent2"/>
        <w:tblW w:w="0" w:type="auto"/>
        <w:tblBorders>
          <w:top w:val="single" w:sz="4" w:space="0" w:color="auto"/>
          <w:left w:val="single" w:sz="4" w:space="0" w:color="auto"/>
          <w:bottom w:val="single" w:sz="4" w:space="0" w:color="auto"/>
          <w:right w:val="single" w:sz="4" w:space="0" w:color="auto"/>
          <w:insideV w:val="single" w:sz="4" w:space="0" w:color="D99594" w:themeColor="accent2" w:themeTint="99"/>
        </w:tblBorders>
        <w:tblLook w:val="0400" w:firstRow="0" w:lastRow="0" w:firstColumn="0" w:lastColumn="0" w:noHBand="0" w:noVBand="1"/>
      </w:tblPr>
      <w:tblGrid>
        <w:gridCol w:w="9350"/>
      </w:tblGrid>
      <w:tr w:rsidR="0012752D" w:rsidRPr="0012752D" w14:paraId="5F01F611" w14:textId="77777777" w:rsidTr="0012752D">
        <w:trPr>
          <w:cnfStyle w:val="000000100000" w:firstRow="0" w:lastRow="0" w:firstColumn="0" w:lastColumn="0" w:oddVBand="0" w:evenVBand="0" w:oddHBand="1" w:evenHBand="0" w:firstRowFirstColumn="0" w:firstRowLastColumn="0" w:lastRowFirstColumn="0" w:lastRowLastColumn="0"/>
        </w:trPr>
        <w:tc>
          <w:tcPr>
            <w:tcW w:w="9576" w:type="dxa"/>
            <w:tcBorders>
              <w:top w:val="single" w:sz="4" w:space="0" w:color="auto"/>
              <w:bottom w:val="single" w:sz="4" w:space="0" w:color="auto"/>
            </w:tcBorders>
          </w:tcPr>
          <w:bookmarkEnd w:id="3"/>
          <w:bookmarkEnd w:id="4"/>
          <w:bookmarkEnd w:id="5"/>
          <w:p w14:paraId="128A4EE9" w14:textId="52634B83" w:rsidR="0012752D" w:rsidRPr="0012752D" w:rsidRDefault="0012752D" w:rsidP="0012752D">
            <w:pPr>
              <w:pStyle w:val="FirstParagraph"/>
              <w:spacing w:before="0" w:after="0"/>
              <w:jc w:val="both"/>
              <w:rPr>
                <w:rFonts w:ascii="Helvetica" w:hAnsi="Helvetica"/>
                <w:color w:val="000000" w:themeColor="text1"/>
              </w:rPr>
            </w:pPr>
            <w:r w:rsidRPr="0012752D">
              <w:rPr>
                <w:rFonts w:ascii="Helvetica" w:hAnsi="Helvetica"/>
                <w:b/>
                <w:bCs/>
                <w:color w:val="000000" w:themeColor="text1"/>
              </w:rPr>
              <w:t xml:space="preserve">Figure </w:t>
            </w:r>
            <w:r w:rsidR="00105338">
              <w:rPr>
                <w:rFonts w:ascii="Helvetica" w:hAnsi="Helvetica"/>
                <w:b/>
                <w:bCs/>
                <w:color w:val="000000" w:themeColor="text1"/>
              </w:rPr>
              <w:t>2</w:t>
            </w:r>
            <w:r w:rsidRPr="0012752D">
              <w:rPr>
                <w:rFonts w:ascii="Helvetica" w:hAnsi="Helvetica"/>
                <w:b/>
                <w:bCs/>
                <w:color w:val="000000" w:themeColor="text1"/>
              </w:rPr>
              <w:t>:</w:t>
            </w:r>
            <w:r w:rsidRPr="0012752D">
              <w:rPr>
                <w:rFonts w:ascii="Helvetica" w:hAnsi="Helvetica"/>
                <w:color w:val="000000" w:themeColor="text1"/>
              </w:rPr>
              <w:t xml:space="preserve"> Number of severe acute respiratory illness patients admitted to participating SPRINT-SARI intensive care units by age group, gender, and outcome*†‡, Australia, 01-01-2024 to 16-06-2024</w:t>
            </w:r>
          </w:p>
        </w:tc>
      </w:tr>
      <w:tr w:rsidR="0012752D" w:rsidRPr="0012752D" w14:paraId="50DFDD5F" w14:textId="77777777" w:rsidTr="0012752D">
        <w:tc>
          <w:tcPr>
            <w:tcW w:w="9576" w:type="dxa"/>
            <w:tcBorders>
              <w:top w:val="single" w:sz="4" w:space="0" w:color="auto"/>
              <w:bottom w:val="single" w:sz="4" w:space="0" w:color="auto"/>
            </w:tcBorders>
          </w:tcPr>
          <w:p w14:paraId="6949D792" w14:textId="77777777" w:rsidR="0012752D" w:rsidRPr="0012752D" w:rsidRDefault="0012752D" w:rsidP="0012752D">
            <w:pPr>
              <w:pStyle w:val="BodyText"/>
              <w:spacing w:before="0" w:after="0"/>
              <w:jc w:val="both"/>
              <w:rPr>
                <w:rFonts w:ascii="Helvetica" w:hAnsi="Helvetica"/>
                <w:color w:val="000000" w:themeColor="text1"/>
              </w:rPr>
            </w:pPr>
            <w:r w:rsidRPr="0012752D">
              <w:rPr>
                <w:rFonts w:ascii="Helvetica" w:hAnsi="Helvetica"/>
                <w:noProof/>
                <w:color w:val="000000" w:themeColor="text1"/>
              </w:rPr>
              <w:drawing>
                <wp:inline distT="0" distB="0" distL="0" distR="0" wp14:anchorId="67E68545" wp14:editId="1193934B">
                  <wp:extent cx="5334000" cy="33337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rsr_report_files/figure-docx/unnamed-chunk-5-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tc>
      </w:tr>
      <w:tr w:rsidR="0012752D" w:rsidRPr="0012752D" w14:paraId="21DAF49A" w14:textId="77777777" w:rsidTr="0012752D">
        <w:trPr>
          <w:cnfStyle w:val="000000100000" w:firstRow="0" w:lastRow="0" w:firstColumn="0" w:lastColumn="0" w:oddVBand="0" w:evenVBand="0" w:oddHBand="1" w:evenHBand="0" w:firstRowFirstColumn="0" w:firstRowLastColumn="0" w:lastRowFirstColumn="0" w:lastRowLastColumn="0"/>
          <w:trHeight w:val="545"/>
        </w:trPr>
        <w:tc>
          <w:tcPr>
            <w:tcW w:w="9576" w:type="dxa"/>
            <w:tcBorders>
              <w:top w:val="single" w:sz="4" w:space="0" w:color="auto"/>
              <w:left w:val="nil"/>
              <w:bottom w:val="single" w:sz="4" w:space="0" w:color="auto"/>
              <w:right w:val="nil"/>
            </w:tcBorders>
            <w:shd w:val="clear" w:color="auto" w:fill="auto"/>
          </w:tcPr>
          <w:p w14:paraId="373C5D7A" w14:textId="77777777" w:rsidR="0012752D" w:rsidRPr="0012752D" w:rsidRDefault="0012752D" w:rsidP="00223C5D">
            <w:pPr>
              <w:pStyle w:val="BodyText"/>
              <w:spacing w:before="0" w:after="0"/>
              <w:rPr>
                <w:rFonts w:ascii="Helvetica" w:hAnsi="Helvetica"/>
                <w:color w:val="000000" w:themeColor="text1"/>
                <w:sz w:val="16"/>
                <w:szCs w:val="16"/>
              </w:rPr>
            </w:pPr>
            <w:r w:rsidRPr="0012752D">
              <w:rPr>
                <w:rFonts w:ascii="Helvetica" w:hAnsi="Helvetica"/>
                <w:color w:val="000000" w:themeColor="text1"/>
                <w:sz w:val="16"/>
                <w:szCs w:val="16"/>
              </w:rPr>
              <w:t>*The age and sex distribution of severe acute respiratory infection (SARI) intensive care admissions in the SPRINT-SARI Australia sentinel surveillance system may not reflect the age or sex distribution of all SARI admissions nationally.</w:t>
            </w:r>
            <w:r w:rsidRPr="0012752D">
              <w:rPr>
                <w:rFonts w:ascii="Helvetica" w:hAnsi="Helvetica"/>
                <w:color w:val="000000" w:themeColor="text1"/>
                <w:sz w:val="16"/>
                <w:szCs w:val="16"/>
              </w:rPr>
              <w:br/>
              <w:t>†Ongoing care reflects the need for ongoing care in intensive care. Where a patient has been discharged from intensive care, the patient may be still be receiving ongoing care in a hospital ward.</w:t>
            </w:r>
            <w:r w:rsidRPr="0012752D">
              <w:rPr>
                <w:rFonts w:ascii="Helvetica" w:hAnsi="Helvetica"/>
                <w:color w:val="000000" w:themeColor="text1"/>
                <w:sz w:val="16"/>
                <w:szCs w:val="16"/>
              </w:rPr>
              <w:br/>
              <w:t>‡Death may not reflect a death due to a respiratory pathogen.</w:t>
            </w:r>
          </w:p>
        </w:tc>
      </w:tr>
    </w:tbl>
    <w:p w14:paraId="65B461BC" w14:textId="77777777" w:rsidR="003C32F8" w:rsidRPr="0012752D" w:rsidRDefault="003C32F8" w:rsidP="0012752D">
      <w:pPr>
        <w:pStyle w:val="BodyText"/>
        <w:jc w:val="both"/>
        <w:rPr>
          <w:rFonts w:ascii="Helvetica" w:hAnsi="Helvetica"/>
          <w:color w:val="000000" w:themeColor="text1"/>
        </w:rPr>
      </w:pPr>
    </w:p>
    <w:sectPr w:rsidR="003C32F8" w:rsidRPr="001275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0CA8" w14:textId="77777777" w:rsidR="00FF4D8B" w:rsidRDefault="00FF4D8B">
      <w:pPr>
        <w:spacing w:after="0"/>
      </w:pPr>
      <w:r>
        <w:separator/>
      </w:r>
    </w:p>
  </w:endnote>
  <w:endnote w:type="continuationSeparator" w:id="0">
    <w:p w14:paraId="459F2041" w14:textId="77777777" w:rsidR="00FF4D8B" w:rsidRDefault="00FF4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1900" w14:textId="77777777" w:rsidR="00FF4D8B" w:rsidRDefault="00FF4D8B">
      <w:r>
        <w:separator/>
      </w:r>
    </w:p>
  </w:footnote>
  <w:footnote w:type="continuationSeparator" w:id="0">
    <w:p w14:paraId="2B1787F1" w14:textId="77777777" w:rsidR="00FF4D8B" w:rsidRDefault="00FF4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54CA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C439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8831360">
    <w:abstractNumId w:val="0"/>
  </w:num>
  <w:num w:numId="2" w16cid:durableId="725227794">
    <w:abstractNumId w:val="1"/>
  </w:num>
  <w:num w:numId="3" w16cid:durableId="1714961282">
    <w:abstractNumId w:val="1"/>
  </w:num>
  <w:num w:numId="4" w16cid:durableId="759984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76"/>
    <w:rsid w:val="00105338"/>
    <w:rsid w:val="0012752D"/>
    <w:rsid w:val="00223C5D"/>
    <w:rsid w:val="002370B7"/>
    <w:rsid w:val="00252AF8"/>
    <w:rsid w:val="003C32F8"/>
    <w:rsid w:val="008D76B3"/>
    <w:rsid w:val="00906F76"/>
    <w:rsid w:val="00BB30D9"/>
    <w:rsid w:val="00C62981"/>
    <w:rsid w:val="00ED5347"/>
    <w:rsid w:val="00FF289F"/>
    <w:rsid w:val="00FF4D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59ACA"/>
  <w15:docId w15:val="{9538F6FD-6BF9-384D-816A-4679D7BD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2-Accent2">
    <w:name w:val="List Table 2 Accent 2"/>
    <w:basedOn w:val="TableNormal"/>
    <w:uiPriority w:val="47"/>
    <w:rsid w:val="003C32F8"/>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
    <w:name w:val="Table Grid"/>
    <w:basedOn w:val="TableNormal"/>
    <w:rsid w:val="001275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CHABA, Anis</dc:creator>
  <cp:keywords/>
  <cp:lastModifiedBy>Anis Chaba</cp:lastModifiedBy>
  <cp:revision>4</cp:revision>
  <dcterms:created xsi:type="dcterms:W3CDTF">2024-06-28T07:46:00Z</dcterms:created>
  <dcterms:modified xsi:type="dcterms:W3CDTF">2024-06-29T05:55:00Z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