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9" w:name="content"/>
    <w:bookmarkStart w:id="23" w:name="X08284d0278c97b8ee6116045d25e11ab464298f"/>
    <w:p>
      <w:pPr>
        <w:pStyle w:val="Heading1"/>
      </w:pPr>
      <w:r>
        <w:t xml:space="preserve">Bengaluru (Karnataka) – Restaurant Licensing &amp; Documentation</w:t>
      </w:r>
    </w:p>
    <w:p>
      <w:pPr>
        <w:pStyle w:val="FirstParagraph"/>
      </w:pPr>
      <w:r>
        <w:t xml:space="preserve">Bengaluru (formerly Bangalore) is governed by Bruhat Bengaluru Mahanagara Palike (BBMP). Required licenses include a</w:t>
      </w:r>
      <w:r>
        <w:t xml:space="preserve"> </w:t>
      </w:r>
      <w:r>
        <w:rPr>
          <w:b/>
          <w:bCs/>
        </w:rPr>
        <w:t xml:space="preserve">Trade Licence (BBMP)</w:t>
      </w:r>
      <w:r>
        <w:t xml:space="preserve">,</w:t>
      </w:r>
      <w:r>
        <w:t xml:space="preserve"> </w:t>
      </w:r>
      <w:r>
        <w:rPr>
          <w:b/>
          <w:bCs/>
        </w:rPr>
        <w:t xml:space="preserve">FSSAI registration</w:t>
      </w:r>
      <w:r>
        <w:t xml:space="preserve">,</w:t>
      </w:r>
      <w:r>
        <w:t xml:space="preserve"> </w:t>
      </w:r>
      <w:r>
        <w:rPr>
          <w:b/>
          <w:bCs/>
        </w:rPr>
        <w:t xml:space="preserve">GST registration</w:t>
      </w:r>
      <w:r>
        <w:t xml:space="preserve">, and</w:t>
      </w:r>
      <w:r>
        <w:t xml:space="preserve"> </w:t>
      </w:r>
      <w:r>
        <w:rPr>
          <w:b/>
          <w:bCs/>
        </w:rPr>
        <w:t xml:space="preserve">Shop &amp; Commercial Establishment registration</w:t>
      </w:r>
      <w:r>
        <w:t xml:space="preserve">. Chennai-style</w:t>
      </w:r>
      <w:r>
        <w:t xml:space="preserve"> </w:t>
      </w:r>
      <w:r>
        <w:rPr>
          <w:i/>
          <w:iCs/>
        </w:rPr>
        <w:t xml:space="preserve">Trade License</w:t>
      </w:r>
      <w:r>
        <w:t xml:space="preserve"> </w:t>
      </w:r>
      <w:r>
        <w:t xml:space="preserve">rules apply: under the Karnataka Municipal Corporations Act, BBMP issues trade licences for businesses listed in</w:t>
      </w:r>
      <w:r>
        <w:t xml:space="preserve"> </w:t>
      </w:r>
      <w:r>
        <w:rPr>
          <w:b/>
          <w:bCs/>
        </w:rPr>
        <w:t xml:space="preserve">Schedule X</w:t>
      </w:r>
      <w:r>
        <w:t xml:space="preserve"> </w:t>
      </w:r>
      <w:r>
        <w:t xml:space="preserve">(including hotels/restaurants)</w:t>
      </w:r>
      <w:hyperlink r:id="rId21">
        <w:r>
          <w:rPr>
            <w:rStyle w:val="Hyperlink"/>
          </w:rPr>
          <w:t xml:space="preserve">[1]</w:t>
        </w:r>
      </w:hyperlink>
      <w:r>
        <w:t xml:space="preserve">. Licences must be displayed prominently. For dining establishments, the Karnataka Shops &amp; Commercial Establishments Act (1961) also requires registration. Fire safety laws mandate a</w:t>
      </w:r>
      <w:r>
        <w:t xml:space="preserve"> </w:t>
      </w:r>
      <w:r>
        <w:rPr>
          <w:b/>
          <w:bCs/>
        </w:rPr>
        <w:t xml:space="preserve">Fire NOC</w:t>
      </w:r>
      <w:r>
        <w:t xml:space="preserve"> </w:t>
      </w:r>
      <w:r>
        <w:t xml:space="preserve">for restaurants above a certain capacity (often 50+ seats). If alcohol is served, an</w:t>
      </w:r>
      <w:r>
        <w:t xml:space="preserve"> </w:t>
      </w:r>
      <w:r>
        <w:rPr>
          <w:b/>
          <w:bCs/>
        </w:rPr>
        <w:t xml:space="preserve">“Approved Restaurant” Excise licence</w:t>
      </w:r>
      <w:r>
        <w:t xml:space="preserve"> </w:t>
      </w:r>
      <w:r>
        <w:t xml:space="preserve">(Form FL-3) from Tamil Nadu State Excise is needed.</w:t>
      </w:r>
    </w:p>
    <w:p>
      <w:pPr>
        <w:pStyle w:val="Compact"/>
        <w:numPr>
          <w:ilvl w:val="0"/>
          <w:numId w:val="1001"/>
        </w:numPr>
      </w:pPr>
      <w:r>
        <w:rPr>
          <w:b/>
          <w:bCs/>
        </w:rPr>
        <w:t xml:space="preserve">FSSAI License:</w:t>
      </w:r>
      <w:r>
        <w:t xml:space="preserve"> </w:t>
      </w:r>
      <w:r>
        <w:t xml:space="preserve">Mandatory under the Food Safety Act for all food businesses. Small eateries may get</w:t>
      </w:r>
      <w:r>
        <w:t xml:space="preserve"> </w:t>
      </w:r>
      <w:r>
        <w:rPr>
          <w:i/>
          <w:iCs/>
        </w:rPr>
        <w:t xml:space="preserve">Basic Registration</w:t>
      </w:r>
      <w:r>
        <w:t xml:space="preserve"> </w:t>
      </w:r>
      <w:r>
        <w:t xml:space="preserve">(turnover ≤₹12L)</w:t>
      </w:r>
      <w:hyperlink r:id="rId22">
        <w:r>
          <w:rPr>
            <w:rStyle w:val="Hyperlink"/>
          </w:rPr>
          <w:t xml:space="preserve">[2]</w:t>
        </w:r>
      </w:hyperlink>
      <w:r>
        <w:t xml:space="preserve">, while larger ones require a State/Central FSSAI licence. Required documents include owner’s ID (PAN/Aadhaar), address proof (utility bill/lease), restaurant layout plan, category of food items, water test report, food-handler medical certificates, and proprietor’s declaration (Form B)</w:t>
      </w:r>
      <w:hyperlink r:id="rId22">
        <w:r>
          <w:rPr>
            <w:rStyle w:val="Hyperlink"/>
          </w:rPr>
          <w:t xml:space="preserve">[2]</w:t>
        </w:r>
      </w:hyperlink>
      <w:r>
        <w:t xml:space="preserve">.</w:t>
      </w:r>
    </w:p>
    <w:p>
      <w:pPr>
        <w:pStyle w:val="Compact"/>
        <w:numPr>
          <w:ilvl w:val="0"/>
          <w:numId w:val="1001"/>
        </w:numPr>
      </w:pPr>
      <w:r>
        <w:rPr>
          <w:b/>
          <w:bCs/>
        </w:rPr>
        <w:t xml:space="preserve">BBMP Trade Licence:</w:t>
      </w:r>
      <w:r>
        <w:t xml:space="preserve"> </w:t>
      </w:r>
      <w:r>
        <w:t xml:space="preserve">Required for operating a restaurant in Bangalore. BBMP’s regulations (KMC Act, 1976) list “Hotels and restaurants” as trade categories</w:t>
      </w:r>
      <w:hyperlink r:id="rId21">
        <w:r>
          <w:rPr>
            <w:rStyle w:val="Hyperlink"/>
          </w:rPr>
          <w:t xml:space="preserve">[1]</w:t>
        </w:r>
      </w:hyperlink>
      <w:r>
        <w:t xml:space="preserve">. The online application (BBMP website) asks for business details, PAN, address proof, NOC from owner, and layout plan. License fees vary by business type (e.g. restaurants) and area; under KMC Act Schedule X, hotels/restaurants must apply</w:t>
      </w:r>
      <w:hyperlink r:id="rId21">
        <w:r>
          <w:rPr>
            <w:rStyle w:val="Hyperlink"/>
          </w:rPr>
          <w:t xml:space="preserve">[1]</w:t>
        </w:r>
      </w:hyperlink>
      <w:r>
        <w:t xml:space="preserve">. Licences are typically renewed periodically.</w:t>
      </w:r>
    </w:p>
    <w:p>
      <w:pPr>
        <w:pStyle w:val="Compact"/>
        <w:numPr>
          <w:ilvl w:val="0"/>
          <w:numId w:val="1001"/>
        </w:numPr>
      </w:pPr>
      <w:r>
        <w:rPr>
          <w:b/>
          <w:bCs/>
        </w:rPr>
        <w:t xml:space="preserve">Shop &amp; Establishment Registration:</w:t>
      </w:r>
      <w:r>
        <w:t xml:space="preserve"> </w:t>
      </w:r>
      <w:r>
        <w:t xml:space="preserve">Under the Karnataka Shops &amp; Commercial Establishments Act, all restaurants must register their establishment with the labour department. Documents: proof of tenancy/ownership, PAN, GST certificate (if any), list of employees, and address proof. This ensures compliance with labour regulations.</w:t>
      </w:r>
    </w:p>
    <w:p>
      <w:pPr>
        <w:pStyle w:val="Compact"/>
        <w:numPr>
          <w:ilvl w:val="0"/>
          <w:numId w:val="1001"/>
        </w:numPr>
      </w:pPr>
      <w:r>
        <w:rPr>
          <w:b/>
          <w:bCs/>
        </w:rPr>
        <w:t xml:space="preserve">Building &amp; Fire Safety:</w:t>
      </w:r>
      <w:r>
        <w:t xml:space="preserve"> </w:t>
      </w:r>
      <w:r>
        <w:t xml:space="preserve">New or renovated restaurant premises require an approved building plan (from BBMP or BDA). A</w:t>
      </w:r>
      <w:r>
        <w:t xml:space="preserve"> </w:t>
      </w:r>
      <w:r>
        <w:rPr>
          <w:b/>
          <w:bCs/>
        </w:rPr>
        <w:t xml:space="preserve">Fire NOC</w:t>
      </w:r>
      <w:r>
        <w:t xml:space="preserve"> </w:t>
      </w:r>
      <w:r>
        <w:t xml:space="preserve">from the Karnataka Fire Department is mandatory if seating capacity or built-up area exceeds thresholds (commonly 50+ seats or large area). The applicant must submit a fire safety plan, building layout with exits, and safety equipment details for inspection.</w:t>
      </w:r>
    </w:p>
    <w:p>
      <w:pPr>
        <w:pStyle w:val="Compact"/>
        <w:numPr>
          <w:ilvl w:val="0"/>
          <w:numId w:val="1001"/>
        </w:numPr>
      </w:pPr>
      <w:r>
        <w:rPr>
          <w:b/>
          <w:bCs/>
        </w:rPr>
        <w:t xml:space="preserve">GST Registration:</w:t>
      </w:r>
      <w:r>
        <w:t xml:space="preserve"> </w:t>
      </w:r>
      <w:r>
        <w:t xml:space="preserve">Required if turnover exceeds ₹40 lakhs (₹20L for NE states) per year. Application via GST portal with PAN, Aadhaar, business address proof, and bank details.</w:t>
      </w:r>
    </w:p>
    <w:p>
      <w:pPr>
        <w:pStyle w:val="Compact"/>
        <w:numPr>
          <w:ilvl w:val="0"/>
          <w:numId w:val="1001"/>
        </w:numPr>
      </w:pPr>
      <w:r>
        <w:rPr>
          <w:b/>
          <w:bCs/>
        </w:rPr>
        <w:t xml:space="preserve">Liquor License:</w:t>
      </w:r>
      <w:r>
        <w:t xml:space="preserve"> </w:t>
      </w:r>
      <w:r>
        <w:t xml:space="preserve">If serving alcohol, an</w:t>
      </w:r>
      <w:r>
        <w:t xml:space="preserve"> </w:t>
      </w:r>
      <w:r>
        <w:rPr>
          <w:i/>
          <w:iCs/>
        </w:rPr>
        <w:t xml:space="preserve">“Approved Restaurant” licence</w:t>
      </w:r>
      <w:r>
        <w:t xml:space="preserve"> </w:t>
      </w:r>
      <w:r>
        <w:t xml:space="preserve">(Form FL-3 under TN Excise Act) is required (with NOCs from police/BBMP and fire departments).</w:t>
      </w:r>
    </w:p>
    <w:p>
      <w:pPr>
        <w:pStyle w:val="FirstParagraph"/>
      </w:pPr>
      <w:r>
        <w:rPr>
          <w:i/>
          <w:iCs/>
        </w:rPr>
        <w:t xml:space="preserve">Sources:</w:t>
      </w:r>
      <w:r>
        <w:t xml:space="preserve"> </w:t>
      </w:r>
      <w:r>
        <w:t xml:space="preserve">Karnataka municipal regulations and national guidelines. Trade licence rules specify that “hotels and restaurants” need BBMP trade licences</w:t>
      </w:r>
      <w:hyperlink r:id="rId21">
        <w:r>
          <w:rPr>
            <w:rStyle w:val="Hyperlink"/>
          </w:rPr>
          <w:t xml:space="preserve">[1]</w:t>
        </w:r>
      </w:hyperlink>
      <w:r>
        <w:t xml:space="preserve">. FSSAI thresholds are uniform across India</w:t>
      </w:r>
      <w:hyperlink r:id="rId22">
        <w:r>
          <w:rPr>
            <w:rStyle w:val="Hyperlink"/>
          </w:rPr>
          <w:t xml:space="preserve">[2]</w:t>
        </w:r>
      </w:hyperlink>
      <w:r>
        <w:t xml:space="preserve">.</w:t>
      </w:r>
    </w:p>
    <w:p>
      <w:r>
        <w:pict>
          <v:rect style="width:0;height:1.5pt" o:hralign="center" o:hrstd="t" o:hr="t"/>
        </w:pict>
      </w:r>
    </w:p>
    <w:bookmarkEnd w:id="23"/>
    <w:bookmarkStart w:id="25" w:name="X9c92979e1b868b1a8311cb49affdb6f66cf4715"/>
    <w:p>
      <w:pPr>
        <w:pStyle w:val="Heading1"/>
      </w:pPr>
      <w:r>
        <w:t xml:space="preserve">Bhubaneswar (Odisha) – Restaurant Licensing &amp; Documentation</w:t>
      </w:r>
    </w:p>
    <w:p>
      <w:pPr>
        <w:pStyle w:val="FirstParagraph"/>
      </w:pPr>
      <w:r>
        <w:t xml:space="preserve">Bhubaneswar Municipal Corporation (BMC) issues trade licences under the Orissa Municipal Corporation Act. Required permits include</w:t>
      </w:r>
      <w:r>
        <w:t xml:space="preserve"> </w:t>
      </w:r>
      <w:r>
        <w:rPr>
          <w:b/>
          <w:bCs/>
        </w:rPr>
        <w:t xml:space="preserve">FSSAI</w:t>
      </w:r>
      <w:r>
        <w:t xml:space="preserve">,</w:t>
      </w:r>
      <w:r>
        <w:t xml:space="preserve"> </w:t>
      </w:r>
      <w:r>
        <w:rPr>
          <w:b/>
          <w:bCs/>
        </w:rPr>
        <w:t xml:space="preserve">BMC Trade Licence</w:t>
      </w:r>
      <w:r>
        <w:t xml:space="preserve">,</w:t>
      </w:r>
      <w:r>
        <w:t xml:space="preserve"> </w:t>
      </w:r>
      <w:r>
        <w:rPr>
          <w:b/>
          <w:bCs/>
        </w:rPr>
        <w:t xml:space="preserve">GST registration</w:t>
      </w:r>
      <w:r>
        <w:t xml:space="preserve">,</w:t>
      </w:r>
      <w:r>
        <w:t xml:space="preserve"> </w:t>
      </w:r>
      <w:r>
        <w:rPr>
          <w:b/>
          <w:bCs/>
        </w:rPr>
        <w:t xml:space="preserve">Odisha Shop &amp; Establishment registration</w:t>
      </w:r>
      <w:r>
        <w:t xml:space="preserve">, and</w:t>
      </w:r>
      <w:r>
        <w:t xml:space="preserve"> </w:t>
      </w:r>
      <w:r>
        <w:rPr>
          <w:b/>
          <w:bCs/>
        </w:rPr>
        <w:t xml:space="preserve">Fire NOC</w:t>
      </w:r>
      <w:r>
        <w:t xml:space="preserve">. BMC’s</w:t>
      </w:r>
      <w:r>
        <w:t xml:space="preserve"> </w:t>
      </w:r>
      <w:r>
        <w:rPr>
          <w:i/>
          <w:iCs/>
        </w:rPr>
        <w:t xml:space="preserve">Trades Regulations, 2021</w:t>
      </w:r>
      <w:r>
        <w:t xml:space="preserve"> </w:t>
      </w:r>
      <w:r>
        <w:t xml:space="preserve">govern license procedures. For example, the BMC schedule sets annual licence fees for restaurants by area (₹1,000 for non-AC up to 500 sq.ft; ₹2,000 up to 1,000 sq.ft)</w:t>
      </w:r>
      <w:hyperlink r:id="rId24">
        <w:r>
          <w:rPr>
            <w:rStyle w:val="Hyperlink"/>
          </w:rPr>
          <w:t xml:space="preserve">[3]</w:t>
        </w:r>
      </w:hyperlink>
      <w:r>
        <w:t xml:space="preserve">. Documents needed include PAN, Aadhaar, shop rental/deed, layout plan, and fire safety measures.</w:t>
      </w:r>
    </w:p>
    <w:p>
      <w:pPr>
        <w:pStyle w:val="Compact"/>
        <w:numPr>
          <w:ilvl w:val="0"/>
          <w:numId w:val="1002"/>
        </w:numPr>
      </w:pPr>
      <w:r>
        <w:rPr>
          <w:b/>
          <w:bCs/>
        </w:rPr>
        <w:t xml:space="preserve">FSSAI License:</w:t>
      </w:r>
      <w:r>
        <w:t xml:space="preserve"> </w:t>
      </w:r>
      <w:r>
        <w:t xml:space="preserve">Mandatory for all food operators. Basic (upto ₹12L turnover) or State license applies</w:t>
      </w:r>
      <w:hyperlink r:id="rId22">
        <w:r>
          <w:rPr>
            <w:rStyle w:val="Hyperlink"/>
          </w:rPr>
          <w:t xml:space="preserve">[2]</w:t>
        </w:r>
      </w:hyperlink>
      <w:r>
        <w:t xml:space="preserve">. Typical documents: identity proof, address proof, kitchen layout, list of menu items, water test report, employee health certificates, and NoC from the premises owner.</w:t>
      </w:r>
    </w:p>
    <w:p>
      <w:pPr>
        <w:pStyle w:val="Compact"/>
        <w:numPr>
          <w:ilvl w:val="0"/>
          <w:numId w:val="1002"/>
        </w:numPr>
      </w:pPr>
      <w:r>
        <w:rPr>
          <w:b/>
          <w:bCs/>
        </w:rPr>
        <w:t xml:space="preserve">BMC Trade Licence:</w:t>
      </w:r>
      <w:r>
        <w:t xml:space="preserve"> </w:t>
      </w:r>
      <w:r>
        <w:t xml:space="preserve">All commercial restaurants must have this. The application requires business details, PAN, GST, NoC from landlord, plan of premises, and licence fee. BMC’s fee schedule for “Catering Establishment/Restaurant” is tiered by area</w:t>
      </w:r>
      <w:hyperlink r:id="rId24">
        <w:r>
          <w:rPr>
            <w:rStyle w:val="Hyperlink"/>
          </w:rPr>
          <w:t xml:space="preserve">[3]</w:t>
        </w:r>
      </w:hyperlink>
      <w:r>
        <w:t xml:space="preserve">, and restaurants must renew annually. Licences should be displayed prominently on-site.</w:t>
      </w:r>
    </w:p>
    <w:p>
      <w:pPr>
        <w:pStyle w:val="Compact"/>
        <w:numPr>
          <w:ilvl w:val="0"/>
          <w:numId w:val="1002"/>
        </w:numPr>
      </w:pPr>
      <w:r>
        <w:rPr>
          <w:b/>
          <w:bCs/>
        </w:rPr>
        <w:t xml:space="preserve">Shop &amp; Establishment Registration (Odisha):</w:t>
      </w:r>
      <w:r>
        <w:t xml:space="preserve"> </w:t>
      </w:r>
      <w:r>
        <w:t xml:space="preserve">Under the Odisha Shops &amp; Establishment Act, restaurants must register within 30 days of opening. Provide proprietor’s ID, ownership/rent documents, and employee details.</w:t>
      </w:r>
    </w:p>
    <w:p>
      <w:pPr>
        <w:pStyle w:val="Compact"/>
        <w:numPr>
          <w:ilvl w:val="0"/>
          <w:numId w:val="1002"/>
        </w:numPr>
      </w:pPr>
      <w:r>
        <w:rPr>
          <w:b/>
          <w:bCs/>
        </w:rPr>
        <w:t xml:space="preserve">Fire NOC:</w:t>
      </w:r>
      <w:r>
        <w:t xml:space="preserve"> </w:t>
      </w:r>
      <w:r>
        <w:t xml:space="preserve">Odisha Fire Service mandates a No Objection Certificate for establishments exceeding prescribed occupancy or area. Submit building layout with emergency exits, fire extinguishers, and water supply details for inspection.</w:t>
      </w:r>
    </w:p>
    <w:p>
      <w:pPr>
        <w:pStyle w:val="Compact"/>
        <w:numPr>
          <w:ilvl w:val="0"/>
          <w:numId w:val="1002"/>
        </w:numPr>
      </w:pPr>
      <w:r>
        <w:rPr>
          <w:b/>
          <w:bCs/>
        </w:rPr>
        <w:t xml:space="preserve">GST Registration:</w:t>
      </w:r>
      <w:r>
        <w:t xml:space="preserve"> </w:t>
      </w:r>
      <w:r>
        <w:t xml:space="preserve">As per central tax law, required if turnover crosses ₹40 lakh. Submit PAN, Aadhaar, proof of business address, and related documents on the GST portal.</w:t>
      </w:r>
    </w:p>
    <w:p>
      <w:pPr>
        <w:pStyle w:val="Compact"/>
        <w:numPr>
          <w:ilvl w:val="0"/>
          <w:numId w:val="1002"/>
        </w:numPr>
      </w:pPr>
      <w:r>
        <w:rPr>
          <w:b/>
          <w:bCs/>
        </w:rPr>
        <w:t xml:space="preserve">Liquor License:</w:t>
      </w:r>
      <w:r>
        <w:t xml:space="preserve"> </w:t>
      </w:r>
      <w:r>
        <w:t xml:space="preserve">Serving alcohol requires an</w:t>
      </w:r>
      <w:r>
        <w:t xml:space="preserve"> </w:t>
      </w:r>
      <w:r>
        <w:rPr>
          <w:i/>
          <w:iCs/>
        </w:rPr>
        <w:t xml:space="preserve">“Hotel/Restaurant” licence under Odisha Excise rules (Forms A, B, or C)</w:t>
      </w:r>
      <w:r>
        <w:t xml:space="preserve"> </w:t>
      </w:r>
      <w:r>
        <w:t xml:space="preserve">with supporting NOCs and police verification.</w:t>
      </w:r>
    </w:p>
    <w:p>
      <w:pPr>
        <w:pStyle w:val="FirstParagraph"/>
      </w:pPr>
      <w:r>
        <w:rPr>
          <w:i/>
          <w:iCs/>
        </w:rPr>
        <w:t xml:space="preserve">Sources:</w:t>
      </w:r>
      <w:r>
        <w:t xml:space="preserve"> </w:t>
      </w:r>
      <w:r>
        <w:t xml:space="preserve">Odisha municipal regulations and national standards. BMC’s official license fee table lists restaurant categories with fees</w:t>
      </w:r>
      <w:hyperlink r:id="rId24">
        <w:r>
          <w:rPr>
            <w:rStyle w:val="Hyperlink"/>
          </w:rPr>
          <w:t xml:space="preserve">[3]</w:t>
        </w:r>
      </w:hyperlink>
      <w:r>
        <w:t xml:space="preserve">. National FSSAI rules apply equally</w:t>
      </w:r>
      <w:hyperlink r:id="rId22">
        <w:r>
          <w:rPr>
            <w:rStyle w:val="Hyperlink"/>
          </w:rPr>
          <w:t xml:space="preserve">[2]</w:t>
        </w:r>
      </w:hyperlink>
      <w:r>
        <w:t xml:space="preserve">.</w:t>
      </w:r>
    </w:p>
    <w:p>
      <w:r>
        <w:pict>
          <v:rect style="width:0;height:1.5pt" o:hralign="center" o:hrstd="t" o:hr="t"/>
        </w:pict>
      </w:r>
    </w:p>
    <w:bookmarkEnd w:id="25"/>
    <w:bookmarkStart w:id="26" w:name="X5a956e2b0d10c0c70f501100a1d9a7f76f27153"/>
    <w:p>
      <w:pPr>
        <w:pStyle w:val="Heading1"/>
      </w:pPr>
      <w:r>
        <w:t xml:space="preserve">Vijayawada (Andhra Pradesh) – Restaurant Licensing &amp; Documentation</w:t>
      </w:r>
    </w:p>
    <w:p>
      <w:pPr>
        <w:pStyle w:val="FirstParagraph"/>
      </w:pPr>
      <w:r>
        <w:t xml:space="preserve">Vijayawada Municipal Corporation (VMC) issues licences for trade and buildings under AP laws. Key requirements for a restaurant include</w:t>
      </w:r>
      <w:r>
        <w:t xml:space="preserve"> </w:t>
      </w:r>
      <w:r>
        <w:rPr>
          <w:b/>
          <w:bCs/>
        </w:rPr>
        <w:t xml:space="preserve">FSSAI</w:t>
      </w:r>
      <w:r>
        <w:t xml:space="preserve">,</w:t>
      </w:r>
      <w:r>
        <w:t xml:space="preserve"> </w:t>
      </w:r>
      <w:r>
        <w:rPr>
          <w:b/>
          <w:bCs/>
        </w:rPr>
        <w:t xml:space="preserve">VMC Trade Licence</w:t>
      </w:r>
      <w:r>
        <w:t xml:space="preserve">,</w:t>
      </w:r>
      <w:r>
        <w:t xml:space="preserve"> </w:t>
      </w:r>
      <w:r>
        <w:rPr>
          <w:b/>
          <w:bCs/>
        </w:rPr>
        <w:t xml:space="preserve">GST</w:t>
      </w:r>
      <w:r>
        <w:t xml:space="preserve">,</w:t>
      </w:r>
      <w:r>
        <w:t xml:space="preserve"> </w:t>
      </w:r>
      <w:r>
        <w:rPr>
          <w:b/>
          <w:bCs/>
        </w:rPr>
        <w:t xml:space="preserve">AP Shops &amp; Establishment registration</w:t>
      </w:r>
      <w:r>
        <w:t xml:space="preserve">, and</w:t>
      </w:r>
      <w:r>
        <w:t xml:space="preserve"> </w:t>
      </w:r>
      <w:r>
        <w:rPr>
          <w:b/>
          <w:bCs/>
        </w:rPr>
        <w:t xml:space="preserve">Fire Clearance</w:t>
      </w:r>
      <w:r>
        <w:t xml:space="preserve">. The VMC trade licence application requires proof of business (PAN/Aadhaar), address (lease or utility bill), layout plan, and landlord’s NoC. License fees depend on category (restaurants are typically high-fee brackets). If seating exceeds 50 or area is large, Andhra Pradesh Fire and Emergency Services requires a Fire NOC.</w:t>
      </w:r>
    </w:p>
    <w:p>
      <w:pPr>
        <w:pStyle w:val="Compact"/>
        <w:numPr>
          <w:ilvl w:val="0"/>
          <w:numId w:val="1003"/>
        </w:numPr>
      </w:pPr>
      <w:r>
        <w:rPr>
          <w:b/>
          <w:bCs/>
        </w:rPr>
        <w:t xml:space="preserve">FSSAI License:</w:t>
      </w:r>
      <w:r>
        <w:t xml:space="preserve"> </w:t>
      </w:r>
      <w:r>
        <w:t xml:space="preserve">Same central requirements (basic vs. state license by turnover)</w:t>
      </w:r>
      <w:hyperlink r:id="rId22">
        <w:r>
          <w:rPr>
            <w:rStyle w:val="Hyperlink"/>
          </w:rPr>
          <w:t xml:space="preserve">[2]</w:t>
        </w:r>
      </w:hyperlink>
      <w:r>
        <w:t xml:space="preserve">. Documents: ID proofs, address proofs, kitchen layout, menu categories, water quality report, health certificates.</w:t>
      </w:r>
    </w:p>
    <w:p>
      <w:pPr>
        <w:pStyle w:val="Compact"/>
        <w:numPr>
          <w:ilvl w:val="0"/>
          <w:numId w:val="1003"/>
        </w:numPr>
      </w:pPr>
      <w:r>
        <w:rPr>
          <w:b/>
          <w:bCs/>
        </w:rPr>
        <w:t xml:space="preserve">VMC Trade Licence:</w:t>
      </w:r>
      <w:r>
        <w:t xml:space="preserve"> </w:t>
      </w:r>
      <w:r>
        <w:t xml:space="preserve">Restaurants fall under the municipal trade licence schedule. Required documents include application form, PAN, proof of address, tenancy deed/NOC, structural layout, and health certificates. Licences are renewed periodically; rules are defined by AP Municipal Acts.</w:t>
      </w:r>
    </w:p>
    <w:p>
      <w:pPr>
        <w:pStyle w:val="Compact"/>
        <w:numPr>
          <w:ilvl w:val="0"/>
          <w:numId w:val="1003"/>
        </w:numPr>
      </w:pPr>
      <w:r>
        <w:rPr>
          <w:b/>
          <w:bCs/>
        </w:rPr>
        <w:t xml:space="preserve">Shop &amp; Establishment Registration:</w:t>
      </w:r>
      <w:r>
        <w:t xml:space="preserve"> </w:t>
      </w:r>
      <w:r>
        <w:t xml:space="preserve">Under AP Shops Act, register with state labour department. Submit proprietor’s ID, business address proof, GST certificate if available, and employee list.</w:t>
      </w:r>
    </w:p>
    <w:p>
      <w:pPr>
        <w:pStyle w:val="Compact"/>
        <w:numPr>
          <w:ilvl w:val="0"/>
          <w:numId w:val="1003"/>
        </w:numPr>
      </w:pPr>
      <w:r>
        <w:rPr>
          <w:b/>
          <w:bCs/>
        </w:rPr>
        <w:t xml:space="preserve">Fire NOC:</w:t>
      </w:r>
      <w:r>
        <w:t xml:space="preserve"> </w:t>
      </w:r>
      <w:r>
        <w:t xml:space="preserve">Andhra Pradesh Fire Service mandates NOC for large eateries. The applicant provides architectural plans with fire exits, fire-fighting equipment details, and obtains an inspection.</w:t>
      </w:r>
    </w:p>
    <w:p>
      <w:pPr>
        <w:pStyle w:val="Compact"/>
        <w:numPr>
          <w:ilvl w:val="0"/>
          <w:numId w:val="1003"/>
        </w:numPr>
      </w:pPr>
      <w:r>
        <w:rPr>
          <w:b/>
          <w:bCs/>
        </w:rPr>
        <w:t xml:space="preserve">GST Registration:</w:t>
      </w:r>
      <w:r>
        <w:t xml:space="preserve"> </w:t>
      </w:r>
      <w:r>
        <w:t xml:space="preserve">Apply online (GSTN portal) with PAN, Aadhaar, address proof, and bank details if turnover &gt;₹40L.</w:t>
      </w:r>
    </w:p>
    <w:p>
      <w:pPr>
        <w:pStyle w:val="Compact"/>
        <w:numPr>
          <w:ilvl w:val="0"/>
          <w:numId w:val="1003"/>
        </w:numPr>
      </w:pPr>
      <w:r>
        <w:rPr>
          <w:b/>
          <w:bCs/>
        </w:rPr>
        <w:t xml:space="preserve">Liquor License:</w:t>
      </w:r>
      <w:r>
        <w:t xml:space="preserve"> </w:t>
      </w:r>
      <w:r>
        <w:t xml:space="preserve">AP Excise department issues “Restaurant” liquor licences (Form 33 for state, Form L-22 for IMFL) after verifying NOCs, ownership documents, and police verification.</w:t>
      </w:r>
    </w:p>
    <w:p>
      <w:pPr>
        <w:pStyle w:val="FirstParagraph"/>
      </w:pPr>
      <w:r>
        <w:rPr>
          <w:i/>
          <w:iCs/>
        </w:rPr>
        <w:t xml:space="preserve">Sources:</w:t>
      </w:r>
      <w:r>
        <w:t xml:space="preserve"> </w:t>
      </w:r>
      <w:r>
        <w:t xml:space="preserve">While specific AP corporate documents were not retrieved, the licensing requirements align with national norms. FSSAI thresholds are uniform across India</w:t>
      </w:r>
      <w:hyperlink r:id="rId22">
        <w:r>
          <w:rPr>
            <w:rStyle w:val="Hyperlink"/>
          </w:rPr>
          <w:t xml:space="preserve">[2]</w:t>
        </w:r>
      </w:hyperlink>
      <w:r>
        <w:t xml:space="preserve">.</w:t>
      </w:r>
    </w:p>
    <w:p>
      <w:r>
        <w:pict>
          <v:rect style="width:0;height:1.5pt" o:hralign="center" o:hrstd="t" o:hr="t"/>
        </w:pict>
      </w:r>
    </w:p>
    <w:bookmarkEnd w:id="26"/>
    <w:bookmarkStart w:id="27" w:name="X0e7e6df67e8107d3ae7f43317c54e90245624d2"/>
    <w:p>
      <w:pPr>
        <w:pStyle w:val="Heading1"/>
      </w:pPr>
      <w:r>
        <w:t xml:space="preserve">Thiruvananthapuram (Kerala) – Restaurant Licensing &amp; Documentation</w:t>
      </w:r>
    </w:p>
    <w:p>
      <w:pPr>
        <w:pStyle w:val="FirstParagraph"/>
      </w:pPr>
      <w:r>
        <w:t xml:space="preserve">Thiruvananthapuram Corporation oversees licences under Kerala regulations. A restaurant must obtain</w:t>
      </w:r>
      <w:r>
        <w:t xml:space="preserve"> </w:t>
      </w:r>
      <w:r>
        <w:rPr>
          <w:b/>
          <w:bCs/>
        </w:rPr>
        <w:t xml:space="preserve">FSSAI</w:t>
      </w:r>
      <w:r>
        <w:t xml:space="preserve">,</w:t>
      </w:r>
      <w:r>
        <w:t xml:space="preserve"> </w:t>
      </w:r>
      <w:r>
        <w:rPr>
          <w:b/>
          <w:bCs/>
        </w:rPr>
        <w:t xml:space="preserve">Kerala Municipal Trade Licence</w:t>
      </w:r>
      <w:r>
        <w:t xml:space="preserve">,</w:t>
      </w:r>
      <w:r>
        <w:t xml:space="preserve"> </w:t>
      </w:r>
      <w:r>
        <w:rPr>
          <w:b/>
          <w:bCs/>
        </w:rPr>
        <w:t xml:space="preserve">GST</w:t>
      </w:r>
      <w:r>
        <w:t xml:space="preserve">,</w:t>
      </w:r>
      <w:r>
        <w:t xml:space="preserve"> </w:t>
      </w:r>
      <w:r>
        <w:rPr>
          <w:b/>
          <w:bCs/>
        </w:rPr>
        <w:t xml:space="preserve">Kerala Shops &amp; Commercial Establishment registration</w:t>
      </w:r>
      <w:r>
        <w:t xml:space="preserve">, and</w:t>
      </w:r>
      <w:r>
        <w:t xml:space="preserve"> </w:t>
      </w:r>
      <w:r>
        <w:rPr>
          <w:b/>
          <w:bCs/>
        </w:rPr>
        <w:t xml:space="preserve">Fire NOC</w:t>
      </w:r>
      <w:r>
        <w:t xml:space="preserve">. The Kerala Municipality Authority’s fee schedule categorizes eateries (e.g., Kerala AC/non-AC restaurant licences vary by seating area). Applicants need PAN, Aadhaar, rental agreement, plan of premises, and owner’s NoC. Fire permission is required for large dining halls. If serving alcohol, an Excise</w:t>
      </w:r>
      <w:r>
        <w:t xml:space="preserve"> </w:t>
      </w:r>
      <w:r>
        <w:rPr>
          <w:i/>
          <w:iCs/>
        </w:rPr>
        <w:t xml:space="preserve">“Approved Restaurant” licence</w:t>
      </w:r>
      <w:r>
        <w:t xml:space="preserve"> </w:t>
      </w:r>
      <w:r>
        <w:t xml:space="preserve">is needed.</w:t>
      </w:r>
    </w:p>
    <w:p>
      <w:pPr>
        <w:pStyle w:val="Compact"/>
        <w:numPr>
          <w:ilvl w:val="0"/>
          <w:numId w:val="1004"/>
        </w:numPr>
      </w:pPr>
      <w:r>
        <w:rPr>
          <w:b/>
          <w:bCs/>
        </w:rPr>
        <w:t xml:space="preserve">FSSAI License:</w:t>
      </w:r>
      <w:r>
        <w:t xml:space="preserve"> </w:t>
      </w:r>
      <w:r>
        <w:t xml:space="preserve">As per national law (basic or state license)</w:t>
      </w:r>
      <w:hyperlink r:id="rId22">
        <w:r>
          <w:rPr>
            <w:rStyle w:val="Hyperlink"/>
          </w:rPr>
          <w:t xml:space="preserve">[2]</w:t>
        </w:r>
      </w:hyperlink>
      <w:r>
        <w:t xml:space="preserve">. Mandatory documents: identity proofs, proof of business address, kitchen layout blueprint, menu item list, water test report, employee medical certificates, and landlord NOC.</w:t>
      </w:r>
    </w:p>
    <w:p>
      <w:pPr>
        <w:pStyle w:val="Compact"/>
        <w:numPr>
          <w:ilvl w:val="0"/>
          <w:numId w:val="1004"/>
        </w:numPr>
      </w:pPr>
      <w:r>
        <w:rPr>
          <w:b/>
          <w:bCs/>
        </w:rPr>
        <w:t xml:space="preserve">Municipal Trade Licence:</w:t>
      </w:r>
      <w:r>
        <w:t xml:space="preserve"> </w:t>
      </w:r>
      <w:r>
        <w:t xml:space="preserve">The corporation issues trade licences for restaurants. Required papers include application form, PAN/Aadhaar, shop agreement, layout plan (adhering to Kerala Building Rules), and municipal tax receipts. License fees depend on restaurant category and seating capacity (AC restaurants typically incur higher fees).</w:t>
      </w:r>
    </w:p>
    <w:p>
      <w:pPr>
        <w:pStyle w:val="Compact"/>
        <w:numPr>
          <w:ilvl w:val="0"/>
          <w:numId w:val="1004"/>
        </w:numPr>
      </w:pPr>
      <w:r>
        <w:rPr>
          <w:b/>
          <w:bCs/>
        </w:rPr>
        <w:t xml:space="preserve">Shop &amp; Establishment Registration:</w:t>
      </w:r>
      <w:r>
        <w:t xml:space="preserve"> </w:t>
      </w:r>
      <w:r>
        <w:t xml:space="preserve">Under the Kerala Act (1960), all commercial establishments (including restaurants) must register. Provide owner’s ID, tenancy deed, and list of employees.</w:t>
      </w:r>
    </w:p>
    <w:p>
      <w:pPr>
        <w:pStyle w:val="Compact"/>
        <w:numPr>
          <w:ilvl w:val="0"/>
          <w:numId w:val="1004"/>
        </w:numPr>
      </w:pPr>
      <w:r>
        <w:rPr>
          <w:b/>
          <w:bCs/>
        </w:rPr>
        <w:t xml:space="preserve">Fire NOC:</w:t>
      </w:r>
      <w:r>
        <w:t xml:space="preserve"> </w:t>
      </w:r>
      <w:r>
        <w:t xml:space="preserve">Kerala Fire Force requires clearance for restaurants with high occupancy. Applicants submit building plans with exit routes, fire alarms/extinguishers, and pass a fire safety inspection.</w:t>
      </w:r>
    </w:p>
    <w:p>
      <w:pPr>
        <w:pStyle w:val="Compact"/>
        <w:numPr>
          <w:ilvl w:val="0"/>
          <w:numId w:val="1004"/>
        </w:numPr>
      </w:pPr>
      <w:r>
        <w:rPr>
          <w:b/>
          <w:bCs/>
        </w:rPr>
        <w:t xml:space="preserve">GST Registration:</w:t>
      </w:r>
      <w:r>
        <w:t xml:space="preserve"> </w:t>
      </w:r>
      <w:r>
        <w:t xml:space="preserve">Same national process (PAN, Aadhaar, address proof, etc.). Mandatory if turnover threshold is exceeded.</w:t>
      </w:r>
    </w:p>
    <w:p>
      <w:pPr>
        <w:pStyle w:val="Compact"/>
        <w:numPr>
          <w:ilvl w:val="0"/>
          <w:numId w:val="1004"/>
        </w:numPr>
      </w:pPr>
      <w:r>
        <w:rPr>
          <w:b/>
          <w:bCs/>
        </w:rPr>
        <w:t xml:space="preserve">Liquor License:</w:t>
      </w:r>
      <w:r>
        <w:t xml:space="preserve"> </w:t>
      </w:r>
      <w:r>
        <w:t xml:space="preserve">Kerala Excise issues “Restaurant” liquor permits (Form 17) under the Kerala Abkari Act, 1077 F.S. This demands additional NOCs (police, municipality, fire) and strict adherence to excise regulations.</w:t>
      </w:r>
    </w:p>
    <w:p>
      <w:pPr>
        <w:pStyle w:val="FirstParagraph"/>
      </w:pPr>
      <w:r>
        <w:rPr>
          <w:i/>
          <w:iCs/>
        </w:rPr>
        <w:t xml:space="preserve">Sources:</w:t>
      </w:r>
      <w:r>
        <w:t xml:space="preserve"> </w:t>
      </w:r>
      <w:r>
        <w:t xml:space="preserve">Kerala’s municipal code and national guidelines imply these requirements. FSSAI rules apply consistently</w:t>
      </w:r>
      <w:hyperlink r:id="rId22">
        <w:r>
          <w:rPr>
            <w:rStyle w:val="Hyperlink"/>
          </w:rPr>
          <w:t xml:space="preserve">[2]</w:t>
        </w:r>
      </w:hyperlink>
      <w:r>
        <w:t xml:space="preserve">, and local corporations set trade licence criteria.</w:t>
      </w:r>
    </w:p>
    <w:p>
      <w:r>
        <w:pict>
          <v:rect style="width:0;height:1.5pt" o:hralign="center" o:hrstd="t" o:hr="t"/>
        </w:pict>
      </w:r>
    </w:p>
    <w:bookmarkEnd w:id="27"/>
    <w:bookmarkStart w:id="28" w:name="X76addb5ad2f7f92dcb70649dd002b7957118b98"/>
    <w:p>
      <w:pPr>
        <w:pStyle w:val="Heading1"/>
      </w:pPr>
      <w:r>
        <w:t xml:space="preserve">Lucknow (Uttar Pradesh) – Restaurant Licensing &amp; Documentation</w:t>
      </w:r>
    </w:p>
    <w:p>
      <w:pPr>
        <w:pStyle w:val="FirstParagraph"/>
      </w:pPr>
      <w:r>
        <w:t xml:space="preserve">Lucknow Municipal Corporation oversees local licensing. Essential permits include</w:t>
      </w:r>
      <w:r>
        <w:t xml:space="preserve"> </w:t>
      </w:r>
      <w:r>
        <w:rPr>
          <w:b/>
          <w:bCs/>
        </w:rPr>
        <w:t xml:space="preserve">FSSAI</w:t>
      </w:r>
      <w:r>
        <w:t xml:space="preserve">,</w:t>
      </w:r>
      <w:r>
        <w:t xml:space="preserve"> </w:t>
      </w:r>
      <w:r>
        <w:rPr>
          <w:b/>
          <w:bCs/>
        </w:rPr>
        <w:t xml:space="preserve">Trade Licence (LMC)</w:t>
      </w:r>
      <w:r>
        <w:t xml:space="preserve">,</w:t>
      </w:r>
      <w:r>
        <w:t xml:space="preserve"> </w:t>
      </w:r>
      <w:r>
        <w:rPr>
          <w:b/>
          <w:bCs/>
        </w:rPr>
        <w:t xml:space="preserve">GST</w:t>
      </w:r>
      <w:r>
        <w:t xml:space="preserve">,</w:t>
      </w:r>
      <w:r>
        <w:t xml:space="preserve"> </w:t>
      </w:r>
      <w:r>
        <w:rPr>
          <w:b/>
          <w:bCs/>
        </w:rPr>
        <w:t xml:space="preserve">UP Shops &amp; Establishment registration</w:t>
      </w:r>
      <w:r>
        <w:t xml:space="preserve">, and</w:t>
      </w:r>
      <w:r>
        <w:t xml:space="preserve"> </w:t>
      </w:r>
      <w:r>
        <w:rPr>
          <w:b/>
          <w:bCs/>
        </w:rPr>
        <w:t xml:space="preserve">Fire NOC</w:t>
      </w:r>
      <w:r>
        <w:t xml:space="preserve">. Under the Uttar Pradesh Municipal Act, Lucknow requires trade licences for businesses like restaurants. Applicants must submit an application, identity/address proofs, lease/NOC, fire safety plan, and layout. Annual fees vary by business size. For seating over 50 or area above statutory limits, UP Fire Services mandates a No Objection Certificate. Restaurants serving alcohol need an “Eatery License” (under UP Police Act) and an Excise licence (FL3).</w:t>
      </w:r>
    </w:p>
    <w:p>
      <w:pPr>
        <w:pStyle w:val="Compact"/>
        <w:numPr>
          <w:ilvl w:val="0"/>
          <w:numId w:val="1005"/>
        </w:numPr>
      </w:pPr>
      <w:r>
        <w:rPr>
          <w:b/>
          <w:bCs/>
        </w:rPr>
        <w:t xml:space="preserve">FSSAI License:</w:t>
      </w:r>
      <w:r>
        <w:t xml:space="preserve"> </w:t>
      </w:r>
      <w:r>
        <w:t xml:space="preserve">Mandatory (basic or state license)</w:t>
      </w:r>
      <w:hyperlink r:id="rId22">
        <w:r>
          <w:rPr>
            <w:rStyle w:val="Hyperlink"/>
          </w:rPr>
          <w:t xml:space="preserve">[2]</w:t>
        </w:r>
      </w:hyperlink>
      <w:r>
        <w:t xml:space="preserve">. Standard documents: PAN, Aadhaar, rent deed, water test report, food handler medicals, and menu/plan.</w:t>
      </w:r>
    </w:p>
    <w:p>
      <w:pPr>
        <w:pStyle w:val="Compact"/>
        <w:numPr>
          <w:ilvl w:val="0"/>
          <w:numId w:val="1005"/>
        </w:numPr>
      </w:pPr>
      <w:r>
        <w:rPr>
          <w:b/>
          <w:bCs/>
        </w:rPr>
        <w:t xml:space="preserve">LMC Trade Licence:</w:t>
      </w:r>
      <w:r>
        <w:t xml:space="preserve"> </w:t>
      </w:r>
      <w:r>
        <w:t xml:space="preserve">Lucknow MC issues licences to eateries; paperwork includes PAN, Aadhaar, rental deed, and structural plan. Licences must be renewed periodically. The schedule (under UP Municipal Corporation rules) lists fees by area and category.</w:t>
      </w:r>
    </w:p>
    <w:p>
      <w:pPr>
        <w:pStyle w:val="Compact"/>
        <w:numPr>
          <w:ilvl w:val="0"/>
          <w:numId w:val="1005"/>
        </w:numPr>
      </w:pPr>
      <w:r>
        <w:rPr>
          <w:b/>
          <w:bCs/>
        </w:rPr>
        <w:t xml:space="preserve">Shop &amp; Establishment Registration:</w:t>
      </w:r>
      <w:r>
        <w:t xml:space="preserve"> </w:t>
      </w:r>
      <w:r>
        <w:t xml:space="preserve">As per UP Shops Act, all restaurants must register. Submit owner’s ID, GST certificate (if any), address proof, and employee roster.</w:t>
      </w:r>
    </w:p>
    <w:p>
      <w:pPr>
        <w:pStyle w:val="Compact"/>
        <w:numPr>
          <w:ilvl w:val="0"/>
          <w:numId w:val="1005"/>
        </w:numPr>
      </w:pPr>
      <w:r>
        <w:rPr>
          <w:b/>
          <w:bCs/>
        </w:rPr>
        <w:t xml:space="preserve">Fire NOC:</w:t>
      </w:r>
      <w:r>
        <w:t xml:space="preserve"> </w:t>
      </w:r>
      <w:r>
        <w:t xml:space="preserve">UP Fire Service requires clearance for large restaurants. Provide building and fire safety plans for official inspection.</w:t>
      </w:r>
    </w:p>
    <w:p>
      <w:pPr>
        <w:pStyle w:val="Compact"/>
        <w:numPr>
          <w:ilvl w:val="0"/>
          <w:numId w:val="1005"/>
        </w:numPr>
      </w:pPr>
      <w:r>
        <w:rPr>
          <w:b/>
          <w:bCs/>
        </w:rPr>
        <w:t xml:space="preserve">GST Registration:</w:t>
      </w:r>
      <w:r>
        <w:t xml:space="preserve"> </w:t>
      </w:r>
      <w:r>
        <w:t xml:space="preserve">Follow the GST regime (PAN, address proof, etc.) if turnover thresholds are crossed.</w:t>
      </w:r>
    </w:p>
    <w:p>
      <w:pPr>
        <w:pStyle w:val="Compact"/>
        <w:numPr>
          <w:ilvl w:val="0"/>
          <w:numId w:val="1005"/>
        </w:numPr>
      </w:pPr>
      <w:r>
        <w:rPr>
          <w:b/>
          <w:bCs/>
        </w:rPr>
        <w:t xml:space="preserve">Liquor License:</w:t>
      </w:r>
      <w:r>
        <w:t xml:space="preserve"> </w:t>
      </w:r>
      <w:r>
        <w:t xml:space="preserve">Lucknow Police Commissioner grants an</w:t>
      </w:r>
      <w:r>
        <w:t xml:space="preserve"> </w:t>
      </w:r>
      <w:r>
        <w:rPr>
          <w:i/>
          <w:iCs/>
        </w:rPr>
        <w:t xml:space="preserve">“Eating House License”</w:t>
      </w:r>
      <w:r>
        <w:t xml:space="preserve"> </w:t>
      </w:r>
      <w:r>
        <w:t xml:space="preserve">under the UP Police Act, and the Excise Department issues FL3/33 licenses for serving alcohol.</w:t>
      </w:r>
    </w:p>
    <w:p>
      <w:pPr>
        <w:pStyle w:val="FirstParagraph"/>
      </w:pPr>
      <w:r>
        <w:rPr>
          <w:i/>
          <w:iCs/>
        </w:rPr>
        <w:t xml:space="preserve">Sources:</w:t>
      </w:r>
      <w:r>
        <w:t xml:space="preserve"> </w:t>
      </w:r>
      <w:r>
        <w:t xml:space="preserve">These reflect standard Indian regulations for restaurants. The uniform FSSAI criteria apply here as well</w:t>
      </w:r>
      <w:hyperlink r:id="rId22">
        <w:r>
          <w:rPr>
            <w:rStyle w:val="Hyperlink"/>
          </w:rPr>
          <w:t xml:space="preserve">[2]</w:t>
        </w:r>
      </w:hyperlink>
      <w:r>
        <w:t xml:space="preserve">. The UP Municipal Act mandates trade licences for restaurants and other establishments.</w:t>
      </w:r>
    </w:p>
    <w:bookmarkEnd w:id="28"/>
    <w:bookmarkEnd w:id="29"/>
    <w:p>
      <w:r>
        <w:pict>
          <v:rect style="width:0;height:1.5pt" o:hralign="center" o:hrstd="t" o:hr="t"/>
        </w:pict>
      </w:r>
    </w:p>
    <w:bookmarkStart w:id="33" w:name="citations"/>
    <w:p>
      <w:pPr>
        <w:pStyle w:val="FirstParagraph"/>
      </w:pPr>
      <w:hyperlink r:id="rId21">
        <w:r>
          <w:rPr>
            <w:rStyle w:val="Hyperlink"/>
          </w:rPr>
          <w:t xml:space="preserve">[1]</w:t>
        </w:r>
      </w:hyperlink>
      <w:r>
        <w:t xml:space="preserve"> </w:t>
      </w:r>
      <w:r>
        <w:t xml:space="preserve">BBMP Trade License: Eligibility, Apply Online, Renewal, Fees, Download, Status Check</w:t>
      </w:r>
    </w:p>
    <w:p>
      <w:pPr>
        <w:pStyle w:val="BodyText"/>
      </w:pPr>
      <w:hyperlink r:id="rId30">
        <w:r>
          <w:rPr>
            <w:rStyle w:val="Hyperlink"/>
          </w:rPr>
          <w:t xml:space="preserve">https://cleartax.in/s/bbmp-trade-license</w:t>
        </w:r>
      </w:hyperlink>
    </w:p>
    <w:p>
      <w:pPr>
        <w:pStyle w:val="BodyText"/>
      </w:pPr>
      <w:hyperlink r:id="rId22">
        <w:r>
          <w:rPr>
            <w:rStyle w:val="Hyperlink"/>
          </w:rPr>
          <w:t xml:space="preserve">[2]</w:t>
        </w:r>
      </w:hyperlink>
      <w:r>
        <w:t xml:space="preserve"> </w:t>
      </w:r>
      <w:r>
        <w:t xml:space="preserve">foscos.fssai.gov.in</w:t>
      </w:r>
    </w:p>
    <w:p>
      <w:pPr>
        <w:pStyle w:val="BodyText"/>
      </w:pPr>
      <w:hyperlink r:id="rId31">
        <w:r>
          <w:rPr>
            <w:rStyle w:val="Hyperlink"/>
          </w:rPr>
          <w:t xml:space="preserve">https://foscos.fssai.gov.in/assets/docs/KindofBusinessEligibilityLatest.pdf</w:t>
        </w:r>
      </w:hyperlink>
    </w:p>
    <w:p>
      <w:pPr>
        <w:pStyle w:val="BodyText"/>
      </w:pPr>
      <w:hyperlink r:id="rId24">
        <w:r>
          <w:rPr>
            <w:rStyle w:val="Hyperlink"/>
          </w:rPr>
          <w:t xml:space="preserve">[3]</w:t>
        </w:r>
      </w:hyperlink>
      <w:r>
        <w:t xml:space="preserve"> </w:t>
      </w:r>
      <w:r>
        <w:t xml:space="preserve">cms.bhubaneswarone.in</w:t>
      </w:r>
    </w:p>
    <w:p>
      <w:pPr>
        <w:pStyle w:val="BodyText"/>
      </w:pPr>
      <w:hyperlink r:id="rId32">
        <w:r>
          <w:rPr>
            <w:rStyle w:val="Hyperlink"/>
          </w:rPr>
          <w:t xml:space="preserve">https://cms.bhubaneswarone.in/uploadDocuments/Directory/Acts,%20Rules%20&amp;%20Policies/Directory20210928_180136.pdf</w:t>
        </w:r>
      </w:hyperlink>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s://cleartax.in/s/bbmp-trade-license" TargetMode="External" /><Relationship Type="http://schemas.openxmlformats.org/officeDocument/2006/relationships/hyperlink" Id="rId21" Target="https://cleartax.in/s/bbmp-trade-license#:~:text=BBMP%20trade%20license%20means%20permission,in%20the%20surrounding%20business%20area" TargetMode="External" /><Relationship Type="http://schemas.openxmlformats.org/officeDocument/2006/relationships/hyperlink" Id="rId32" Target="https://cms.bhubaneswarone.in/uploadDocuments/Directory/Acts,%20Rules%20&amp;%20Policies/Directory20210928_180136.pdf" TargetMode="External" /><Relationship Type="http://schemas.openxmlformats.org/officeDocument/2006/relationships/hyperlink" Id="rId24" Target="https://cms.bhubaneswarone.in/uploadDocuments/Directory/Acts,%20Rules%20&amp;%20Policies/Directory20210928_180136.pdf#:~:text=Catering%20Establishment%2FRestaurant,Ft%203000" TargetMode="External" /><Relationship Type="http://schemas.openxmlformats.org/officeDocument/2006/relationships/hyperlink" Id="rId31" Target="https://foscos.fssai.gov.in/assets/docs/KindofBusinessEligibilityLatest.pdf" TargetMode="External" /><Relationship Type="http://schemas.openxmlformats.org/officeDocument/2006/relationships/hyperlink" Id="rId22" Target="https://foscos.fssai.gov.in/assets/docs/KindofBusinessEligibilityLatest.pdf#:~:text=Rs,units%20other%20than%20Dairy%20Units" TargetMode="External" /></Relationships>
</file>

<file path=word/_rels/footnotes.xml.rels><?xml version="1.0" encoding="UTF-8"?><Relationships xmlns="http://schemas.openxmlformats.org/package/2006/relationships"><Relationship Type="http://schemas.openxmlformats.org/officeDocument/2006/relationships/hyperlink" Id="rId30" Target="https://cleartax.in/s/bbmp-trade-license" TargetMode="External" /><Relationship Type="http://schemas.openxmlformats.org/officeDocument/2006/relationships/hyperlink" Id="rId21" Target="https://cleartax.in/s/bbmp-trade-license#:~:text=BBMP%20trade%20license%20means%20permission,in%20the%20surrounding%20business%20area" TargetMode="External" /><Relationship Type="http://schemas.openxmlformats.org/officeDocument/2006/relationships/hyperlink" Id="rId32" Target="https://cms.bhubaneswarone.in/uploadDocuments/Directory/Acts,%20Rules%20&amp;%20Policies/Directory20210928_180136.pdf" TargetMode="External" /><Relationship Type="http://schemas.openxmlformats.org/officeDocument/2006/relationships/hyperlink" Id="rId24" Target="https://cms.bhubaneswarone.in/uploadDocuments/Directory/Acts,%20Rules%20&amp;%20Policies/Directory20210928_180136.pdf#:~:text=Catering%20Establishment%2FRestaurant,Ft%203000" TargetMode="External" /><Relationship Type="http://schemas.openxmlformats.org/officeDocument/2006/relationships/hyperlink" Id="rId31" Target="https://foscos.fssai.gov.in/assets/docs/KindofBusinessEligibilityLatest.pdf" TargetMode="External" /><Relationship Type="http://schemas.openxmlformats.org/officeDocument/2006/relationships/hyperlink" Id="rId22" Target="https://foscos.fssai.gov.in/assets/docs/KindofBusinessEligibilityLatest.pdf#:~:text=Rs,units%20other%20than%20Dairy%20Uni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2026-03-02T21:31:46Z</dcterms:created>
  <dcterms:modified xsi:type="dcterms:W3CDTF">2026-03-02T21:31:46Z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