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Xfe04971467025b4b3f97fc59f070cf552ab3b56"/>
    <w:p>
      <w:pPr>
        <w:pStyle w:val="Heading1"/>
      </w:pPr>
      <w:r>
        <w:t xml:space="preserve">Chennai Restaurant Licensing &amp; Document Checklist (Official Sources)</w:t>
      </w:r>
    </w:p>
    <w:p>
      <w:pPr>
        <w:pStyle w:val="FirstParagraph"/>
      </w:pPr>
      <w:r>
        <w:t xml:space="preserve">Opening a restaurant in Chennai requires multiple licences and approvals from municipal, state and central authorities. The key permits include a</w:t>
      </w:r>
      <w:r>
        <w:t xml:space="preserve"> </w:t>
      </w:r>
      <w:r>
        <w:rPr>
          <w:b/>
          <w:bCs/>
        </w:rPr>
        <w:t xml:space="preserve">Food Business License (FSSAI)</w:t>
      </w:r>
      <w:r>
        <w:t xml:space="preserve">,</w:t>
      </w:r>
      <w:r>
        <w:t xml:space="preserve"> </w:t>
      </w:r>
      <w:r>
        <w:rPr>
          <w:b/>
          <w:bCs/>
        </w:rPr>
        <w:t xml:space="preserve">Trade Licence (Chennai Corporation)</w:t>
      </w:r>
      <w:r>
        <w:t xml:space="preserve">,</w:t>
      </w:r>
      <w:r>
        <w:t xml:space="preserve"> </w:t>
      </w:r>
      <w:r>
        <w:rPr>
          <w:b/>
          <w:bCs/>
        </w:rPr>
        <w:t xml:space="preserve">Shop &amp; Establishment Registration</w:t>
      </w:r>
      <w:r>
        <w:t xml:space="preserve">,</w:t>
      </w:r>
      <w:r>
        <w:t xml:space="preserve"> </w:t>
      </w:r>
      <w:r>
        <w:rPr>
          <w:b/>
          <w:bCs/>
        </w:rPr>
        <w:t xml:space="preserve">Fire Safety Clearance</w:t>
      </w:r>
      <w:r>
        <w:t xml:space="preserve">, and others. All operations must comply with Tamil Nadu laws (e.g. the</w:t>
      </w:r>
      <w:r>
        <w:t xml:space="preserve"> </w:t>
      </w:r>
      <w:r>
        <w:rPr>
          <w:i/>
          <w:iCs/>
        </w:rPr>
        <w:t xml:space="preserve">Tamil Nadu Catering Establishments Act, 1958</w:t>
      </w:r>
      <w:hyperlink r:id="rId21">
        <w:r>
          <w:rPr>
            <w:rStyle w:val="Hyperlink"/>
          </w:rPr>
          <w:t xml:space="preserve">[1]</w:t>
        </w:r>
      </w:hyperlink>
      <w:r>
        <w:t xml:space="preserve">) and local development regulations. This summary compiles requirements and document checklists from official Chennai and Tamil Nadu government publications (license forms, gazette rules, civic guidelines) as of 2025–2026.</w:t>
      </w:r>
    </w:p>
    <w:p>
      <w:pPr>
        <w:numPr>
          <w:ilvl w:val="0"/>
          <w:numId w:val="1001"/>
        </w:numPr>
      </w:pPr>
      <w:r>
        <w:rPr>
          <w:b/>
          <w:bCs/>
        </w:rPr>
        <w:t xml:space="preserve">Food Safety (FSSAI) License:</w:t>
      </w:r>
      <w:r>
        <w:t xml:space="preserve"> </w:t>
      </w:r>
      <w:r>
        <w:t xml:space="preserve">All restaurants must register under the Food Safety and Standards Act. Small food vendors (turnover ≤₹12 lakh/yr) obtain an FSSAI</w:t>
      </w:r>
      <w:r>
        <w:t xml:space="preserve"> </w:t>
      </w:r>
      <w:r>
        <w:rPr>
          <w:i/>
          <w:iCs/>
        </w:rPr>
        <w:t xml:space="preserve">registration</w:t>
      </w:r>
      <w:r>
        <w:t xml:space="preserve">, while larger establishments need a</w:t>
      </w:r>
      <w:r>
        <w:t xml:space="preserve"> </w:t>
      </w:r>
      <w:r>
        <w:rPr>
          <w:b/>
          <w:bCs/>
        </w:rPr>
        <w:t xml:space="preserve">State or Central FSSAI licence</w:t>
      </w:r>
      <w:hyperlink r:id="rId22">
        <w:r>
          <w:rPr>
            <w:rStyle w:val="Hyperlink"/>
          </w:rPr>
          <w:t xml:space="preserve">[2]</w:t>
        </w:r>
      </w:hyperlink>
      <w:r>
        <w:t xml:space="preserve">. Required documents (per FSSAI/State Food Safety Dept.) typically include: owner’s photo ID (PAN/Aadhaar), proof of business address (rent agreement or utility bill), duly-filled Form B (signed by proprietor/partner), food safety management plan/declaration, detailed kitchen layout blueprint, list of food categories, water test report, no-objection certificate from landlord/owner, and medical certificates of food handlers</w:t>
      </w:r>
      <w:hyperlink r:id="rId23">
        <w:r>
          <w:rPr>
            <w:rStyle w:val="Hyperlink"/>
          </w:rPr>
          <w:t xml:space="preserve">[3]</w:t>
        </w:r>
      </w:hyperlink>
      <w:hyperlink r:id="rId24">
        <w:r>
          <w:rPr>
            <w:rStyle w:val="Hyperlink"/>
          </w:rPr>
          <w:t xml:space="preserve">[4]</w:t>
        </w:r>
      </w:hyperlink>
      <w:r>
        <w:t xml:space="preserve">. (These are enumerated on the FoSCoS portal and Tamil Nadu Food Safety sites.)</w:t>
      </w:r>
    </w:p>
    <w:p>
      <w:pPr>
        <w:numPr>
          <w:ilvl w:val="0"/>
          <w:numId w:val="1001"/>
        </w:numPr>
      </w:pPr>
      <w:r>
        <w:rPr>
          <w:b/>
          <w:bCs/>
        </w:rPr>
        <w:t xml:space="preserve">Chennai Trade (Eating-House) Licence:</w:t>
      </w:r>
      <w:r>
        <w:t xml:space="preserve"> </w:t>
      </w:r>
      <w:r>
        <w:t xml:space="preserve">Chennai Corporation requires a municipal trade licence for any restaurant or eating establishment. The licence fee is categorized by area/use; for example, “Eating House/Fast Food/Restaurant” up to 1,000 sq.ft is ₹2,500, above 1,000 sq.ft is ₹10,000</w:t>
      </w:r>
      <w:hyperlink r:id="rId25">
        <w:r>
          <w:rPr>
            <w:rStyle w:val="Hyperlink"/>
          </w:rPr>
          <w:t xml:space="preserve">[5]</w:t>
        </w:r>
      </w:hyperlink>
      <w:r>
        <w:t xml:space="preserve">. The license must be displayed prominently on the premises</w:t>
      </w:r>
      <w:hyperlink r:id="rId26">
        <w:r>
          <w:rPr>
            <w:rStyle w:val="Hyperlink"/>
          </w:rPr>
          <w:t xml:space="preserve">[6]</w:t>
        </w:r>
      </w:hyperlink>
      <w:r>
        <w:t xml:space="preserve">. Key licence conditions (from the official licence form) include: maintaining hygienic premises (sweeping/washing every 24h, whitewashing walls regularly), providing clean drinking water, storing refuse in covered bins, allowing inspections by civic authorities, installing CCTV per building rules, and complying with fire and solid waste norms</w:t>
      </w:r>
      <w:hyperlink r:id="rId23">
        <w:r>
          <w:rPr>
            <w:rStyle w:val="Hyperlink"/>
          </w:rPr>
          <w:t xml:space="preserve">[3]</w:t>
        </w:r>
      </w:hyperlink>
      <w:hyperlink r:id="rId24">
        <w:r>
          <w:rPr>
            <w:rStyle w:val="Hyperlink"/>
          </w:rPr>
          <w:t xml:space="preserve">[4]</w:t>
        </w:r>
      </w:hyperlink>
      <w:r>
        <w:t xml:space="preserve">. (These conditions reference the Tamil Nadu Combined Development and Building Rules, 2019 as applicable</w:t>
      </w:r>
      <w:hyperlink r:id="rId23">
        <w:r>
          <w:rPr>
            <w:rStyle w:val="Hyperlink"/>
          </w:rPr>
          <w:t xml:space="preserve">[3]</w:t>
        </w:r>
      </w:hyperlink>
      <w:r>
        <w:t xml:space="preserve">.)</w:t>
      </w:r>
    </w:p>
    <w:p>
      <w:pPr>
        <w:numPr>
          <w:ilvl w:val="0"/>
          <w:numId w:val="1001"/>
        </w:numPr>
      </w:pPr>
      <w:r>
        <w:rPr>
          <w:b/>
          <w:bCs/>
        </w:rPr>
        <w:t xml:space="preserve">Shop &amp; Establishment Registration:</w:t>
      </w:r>
      <w:r>
        <w:t xml:space="preserve"> </w:t>
      </w:r>
      <w:r>
        <w:t xml:space="preserve">Under the Tamil Nadu Shops &amp; Establishments Act, every commercial establishment (including restaurants) employing staff must register with the local labour department. Required documents typically include proof of ownership/tenancy (sale deed or lease), proprietor’s identity (PAN/Aadhaar), PAN of the business, address proof (electricity bill or rental agreement), and details of employees (names, IDs, working hours). This ensures compliance with labour laws (working hours, holidays, PF/ESI obligations).</w:t>
      </w:r>
    </w:p>
    <w:p>
      <w:pPr>
        <w:numPr>
          <w:ilvl w:val="0"/>
          <w:numId w:val="1001"/>
        </w:numPr>
      </w:pPr>
      <w:r>
        <w:rPr>
          <w:b/>
          <w:bCs/>
        </w:rPr>
        <w:t xml:space="preserve">Building Plan/Development Approval:</w:t>
      </w:r>
      <w:r>
        <w:t xml:space="preserve"> </w:t>
      </w:r>
      <w:r>
        <w:t xml:space="preserve">Any new construction or structural alteration must have approved building plans. Buildings of the size/type typical for restaurants often require clearance from the Chennai Metropolitan Development Authority (CMDA) or local zoning authority. Per the official Chennai Building Permit procedure, applications for commercial buildings (ground +2 floors up to 12 m height, 300 sq.m) are submitted via CMDA/Chennai Corp online portal</w:t>
      </w:r>
      <w:hyperlink r:id="rId27">
        <w:r>
          <w:rPr>
            <w:rStyle w:val="Hyperlink"/>
          </w:rPr>
          <w:t xml:space="preserve">[7]</w:t>
        </w:r>
      </w:hyperlink>
      <w:r>
        <w:t xml:space="preserve">. In practice, ensure your building has a valid plan approval and occupancy certificate before opening.</w:t>
      </w:r>
    </w:p>
    <w:p>
      <w:pPr>
        <w:numPr>
          <w:ilvl w:val="0"/>
          <w:numId w:val="1001"/>
        </w:numPr>
      </w:pPr>
      <w:r>
        <w:rPr>
          <w:b/>
          <w:bCs/>
        </w:rPr>
        <w:t xml:space="preserve">Fire Safety NOC:</w:t>
      </w:r>
      <w:r>
        <w:t xml:space="preserve"> </w:t>
      </w:r>
      <w:r>
        <w:t xml:space="preserve">Tamil Nadu Fire &amp; Rescue Services mandates a</w:t>
      </w:r>
      <w:r>
        <w:t xml:space="preserve"> </w:t>
      </w:r>
      <w:r>
        <w:rPr>
          <w:b/>
          <w:bCs/>
        </w:rPr>
        <w:t xml:space="preserve">Fire No Objection Certificate (NOC)</w:t>
      </w:r>
      <w:r>
        <w:t xml:space="preserve"> </w:t>
      </w:r>
      <w:r>
        <w:t xml:space="preserve">for restaurants above a certain size. In Chennai, any</w:t>
      </w:r>
      <w:r>
        <w:t xml:space="preserve"> </w:t>
      </w:r>
      <w:r>
        <w:rPr>
          <w:b/>
          <w:bCs/>
        </w:rPr>
        <w:t xml:space="preserve">restaurant with seating capacity &gt;50</w:t>
      </w:r>
      <w:r>
        <w:t xml:space="preserve"> </w:t>
      </w:r>
      <w:r>
        <w:t xml:space="preserve">(or built-up area &gt;500 sq.m or height &gt;15m) must obtain a Fire NOC</w:t>
      </w:r>
      <w:hyperlink r:id="rId28">
        <w:r>
          <w:rPr>
            <w:rStyle w:val="Hyperlink"/>
          </w:rPr>
          <w:t xml:space="preserve">[8]</w:t>
        </w:r>
      </w:hyperlink>
      <w:r>
        <w:t xml:space="preserve">. The application requires detailed fire-safety plans (exit routes, hydrants, extinguishers, alarms), structural drawings, and a recent power/installation inspection report. While an unofficial source</w:t>
      </w:r>
      <w:hyperlink r:id="rId28">
        <w:r>
          <w:rPr>
            <w:rStyle w:val="Hyperlink"/>
          </w:rPr>
          <w:t xml:space="preserve">[8]</w:t>
        </w:r>
      </w:hyperlink>
      <w:r>
        <w:t xml:space="preserve"> </w:t>
      </w:r>
      <w:r>
        <w:t xml:space="preserve">notes the “50 seats” threshold, it is standard practice under TN Fire Rules. (The licence conditions from Chennai’s municipal trade licence also emphasize “fire safety norms shall be followed as prescribed”</w:t>
      </w:r>
      <w:hyperlink r:id="rId29">
        <w:r>
          <w:rPr>
            <w:rStyle w:val="Hyperlink"/>
          </w:rPr>
          <w:t xml:space="preserve">[9]</w:t>
        </w:r>
      </w:hyperlink>
      <w:r>
        <w:t xml:space="preserve">.)</w:t>
      </w:r>
    </w:p>
    <w:p>
      <w:pPr>
        <w:numPr>
          <w:ilvl w:val="0"/>
          <w:numId w:val="1001"/>
        </w:numPr>
      </w:pPr>
      <w:r>
        <w:rPr>
          <w:b/>
          <w:bCs/>
        </w:rPr>
        <w:t xml:space="preserve">Liquor Licence (if applicable):</w:t>
      </w:r>
      <w:r>
        <w:t xml:space="preserve"> </w:t>
      </w:r>
      <w:r>
        <w:t xml:space="preserve">Serving alcohol requires a separate</w:t>
      </w:r>
      <w:r>
        <w:t xml:space="preserve"> </w:t>
      </w:r>
      <w:r>
        <w:rPr>
          <w:b/>
          <w:bCs/>
        </w:rPr>
        <w:t xml:space="preserve">“Approved Restaurant” licence under Tamil Nadu Excise rules</w:t>
      </w:r>
      <w:r>
        <w:t xml:space="preserve">. This involves an application to the TN Excise Commissioner’s office (Form FL-3), NOCs (municipal, fire, police), proof of ownership, financial documents, and compliance with the TN Excise Act. Requirements vary by state policy; always check the latest Excise Commissionerate guidelines.</w:t>
      </w:r>
    </w:p>
    <w:p>
      <w:pPr>
        <w:numPr>
          <w:ilvl w:val="0"/>
          <w:numId w:val="1001"/>
        </w:numPr>
      </w:pPr>
      <w:r>
        <w:rPr>
          <w:b/>
          <w:bCs/>
        </w:rPr>
        <w:t xml:space="preserve">Other Approvals (if relevant):</w:t>
      </w:r>
      <w:r>
        <w:t xml:space="preserve"> </w:t>
      </w:r>
      <w:r>
        <w:t xml:space="preserve">Depending on the scale and location, additional permissions may be needed. For example, a Pollution Control Board “Consent” (TNPCB) is required only if the outlet has significant emissions/effluents (rare for a small eatery). Playing music or using loudspeakers may require a PPL/IPRS music license. (These are specialized cases; the core list above covers virtually all standard restaurants.)</w:t>
      </w:r>
    </w:p>
    <w:bookmarkStart w:id="31" w:name="document-checklist-summary"/>
    <w:p>
      <w:pPr>
        <w:pStyle w:val="Heading2"/>
      </w:pPr>
      <w:r>
        <w:t xml:space="preserve">Document Checklist (Summary)</w:t>
      </w:r>
    </w:p>
    <w:p>
      <w:pPr>
        <w:pStyle w:val="FirstParagraph"/>
      </w:pPr>
      <w:r>
        <w:t xml:space="preserve">Below is a consolidated checklist of key documents to gather when applying for Chennai restaurant licences (compiled from official sources and forms):</w:t>
      </w:r>
    </w:p>
    <w:p>
      <w:pPr>
        <w:pStyle w:val="Compact"/>
        <w:numPr>
          <w:ilvl w:val="0"/>
          <w:numId w:val="1002"/>
        </w:numPr>
      </w:pPr>
      <w:r>
        <w:rPr>
          <w:b/>
          <w:bCs/>
        </w:rPr>
        <w:t xml:space="preserve">Identity &amp; Address Proof (Owner/Proprietor):</w:t>
      </w:r>
      <w:r>
        <w:t xml:space="preserve"> </w:t>
      </w:r>
      <w:r>
        <w:t xml:space="preserve">PAN Card, Aadhaar Card, Voter ID or Passport. (FSSAI, Trade Licence, Shops Act all require proprietor ID.)</w:t>
      </w:r>
    </w:p>
    <w:p>
      <w:pPr>
        <w:pStyle w:val="Compact"/>
        <w:numPr>
          <w:ilvl w:val="0"/>
          <w:numId w:val="1002"/>
        </w:numPr>
      </w:pPr>
      <w:r>
        <w:rPr>
          <w:b/>
          <w:bCs/>
        </w:rPr>
        <w:t xml:space="preserve">Business Registration:</w:t>
      </w:r>
      <w:r>
        <w:t xml:space="preserve"> </w:t>
      </w:r>
      <w:r>
        <w:t xml:space="preserve">Certificate of registration or incorporation (if a company/LLP), or partnership deed. PAN of entity.</w:t>
      </w:r>
    </w:p>
    <w:p>
      <w:pPr>
        <w:pStyle w:val="Compact"/>
        <w:numPr>
          <w:ilvl w:val="0"/>
          <w:numId w:val="1002"/>
        </w:numPr>
      </w:pPr>
      <w:r>
        <w:rPr>
          <w:b/>
          <w:bCs/>
        </w:rPr>
        <w:t xml:space="preserve">Proof of Premises Address:</w:t>
      </w:r>
      <w:r>
        <w:t xml:space="preserve"> </w:t>
      </w:r>
      <w:r>
        <w:t xml:space="preserve">Recent utility bills or municipal tax receipt, or registered lease agreement/NOC from property owner. (Needed for FSSAI, Trade Licence, Shops Act.)</w:t>
      </w:r>
    </w:p>
    <w:p>
      <w:pPr>
        <w:pStyle w:val="Compact"/>
        <w:numPr>
          <w:ilvl w:val="0"/>
          <w:numId w:val="1002"/>
        </w:numPr>
      </w:pPr>
      <w:r>
        <w:rPr>
          <w:b/>
          <w:bCs/>
        </w:rPr>
        <w:t xml:space="preserve">Floor Plan / Layout Blueprint:</w:t>
      </w:r>
      <w:r>
        <w:t xml:space="preserve"> </w:t>
      </w:r>
      <w:r>
        <w:t xml:space="preserve">Approved site plan showing kitchen, dining, exits (for FSSAI &amp; Fire NOC). Must be prepared by a licensed architect or engineer. Often needed for trade licence and building approval.【17†】</w:t>
      </w:r>
      <w:r>
        <w:rPr>
          <w:i/>
          <w:iCs/>
        </w:rPr>
        <w:t xml:space="preserve">(See official FSSAI Form B checklist and fire application)</w:t>
      </w:r>
      <w:r>
        <w:t xml:space="preserve">.</w:t>
      </w:r>
    </w:p>
    <w:p>
      <w:pPr>
        <w:pStyle w:val="Compact"/>
        <w:numPr>
          <w:ilvl w:val="0"/>
          <w:numId w:val="1002"/>
        </w:numPr>
      </w:pPr>
      <w:r>
        <w:rPr>
          <w:b/>
          <w:bCs/>
        </w:rPr>
        <w:t xml:space="preserve">Water Quality Report:</w:t>
      </w:r>
      <w:r>
        <w:t xml:space="preserve"> </w:t>
      </w:r>
      <w:r>
        <w:t xml:space="preserve">Test report from a certified lab, required by FSSAI.</w:t>
      </w:r>
    </w:p>
    <w:p>
      <w:pPr>
        <w:pStyle w:val="Compact"/>
        <w:numPr>
          <w:ilvl w:val="0"/>
          <w:numId w:val="1002"/>
        </w:numPr>
      </w:pPr>
      <w:r>
        <w:rPr>
          <w:b/>
          <w:bCs/>
        </w:rPr>
        <w:t xml:space="preserve">No Objection Certificates (NOCs):</w:t>
      </w:r>
      <w:r>
        <w:t xml:space="preserve"> </w:t>
      </w:r>
      <w:r>
        <w:t xml:space="preserve">As applicable: No objection from Municipal Corporation (for trade licence), from landlord (for FSSAI), from fire department (for Fire NOC), and from police (if required for licence).</w:t>
      </w:r>
    </w:p>
    <w:p>
      <w:pPr>
        <w:pStyle w:val="Compact"/>
        <w:numPr>
          <w:ilvl w:val="0"/>
          <w:numId w:val="1002"/>
        </w:numPr>
      </w:pPr>
      <w:r>
        <w:rPr>
          <w:b/>
          <w:bCs/>
        </w:rPr>
        <w:t xml:space="preserve">Employee Medical Certificates:</w:t>
      </w:r>
      <w:r>
        <w:t xml:space="preserve"> </w:t>
      </w:r>
      <w:r>
        <w:t xml:space="preserve">Health check certificates of all food handlers (FSSAI mandate).</w:t>
      </w:r>
    </w:p>
    <w:p>
      <w:pPr>
        <w:pStyle w:val="Compact"/>
        <w:numPr>
          <w:ilvl w:val="0"/>
          <w:numId w:val="1002"/>
        </w:numPr>
      </w:pPr>
      <w:r>
        <w:rPr>
          <w:b/>
          <w:bCs/>
        </w:rPr>
        <w:t xml:space="preserve">Other declarations:</w:t>
      </w:r>
      <w:r>
        <w:t xml:space="preserve"> </w:t>
      </w:r>
      <w:r>
        <w:t xml:space="preserve">FSSAI Form B with proprietor’s signature; GST registration copy; Shop Act registration certificate (if already obtained).</w:t>
      </w:r>
    </w:p>
    <w:p>
      <w:pPr>
        <w:pStyle w:val="Compact"/>
        <w:numPr>
          <w:ilvl w:val="0"/>
          <w:numId w:val="1002"/>
        </w:numPr>
      </w:pPr>
      <w:r>
        <w:rPr>
          <w:b/>
          <w:bCs/>
        </w:rPr>
        <w:t xml:space="preserve">Payment of Fees:</w:t>
      </w:r>
      <w:r>
        <w:t xml:space="preserve"> </w:t>
      </w:r>
      <w:r>
        <w:t xml:space="preserve">Demand draft or online payment receipts for all application fees: FSSAI fee (as per turnover), trade licence fee (see fee schedule</w:t>
      </w:r>
      <w:hyperlink r:id="rId25">
        <w:r>
          <w:rPr>
            <w:rStyle w:val="Hyperlink"/>
          </w:rPr>
          <w:t xml:space="preserve">[5]</w:t>
        </w:r>
      </w:hyperlink>
      <w:r>
        <w:t xml:space="preserve">), Shop Act fee, Fire NOC fee etc.</w:t>
      </w:r>
    </w:p>
    <w:p>
      <w:pPr>
        <w:pStyle w:val="FirstParagraph"/>
      </w:pPr>
      <w:r>
        <w:rPr>
          <w:i/>
          <w:iCs/>
        </w:rPr>
        <w:t xml:space="preserve">Sources:</w:t>
      </w:r>
      <w:r>
        <w:t xml:space="preserve"> </w:t>
      </w:r>
      <w:r>
        <w:t xml:space="preserve">Official Chennai Corporation schedules and licence forms, Tamil Nadu legal acts and gazette, and FSSAI guidelines were used to compile this list</w:t>
      </w:r>
      <w:hyperlink r:id="rId25">
        <w:r>
          <w:rPr>
            <w:rStyle w:val="Hyperlink"/>
          </w:rPr>
          <w:t xml:space="preserve">[5]</w:t>
        </w:r>
      </w:hyperlink>
      <w:hyperlink r:id="rId22">
        <w:r>
          <w:rPr>
            <w:rStyle w:val="Hyperlink"/>
          </w:rPr>
          <w:t xml:space="preserve">[2]</w:t>
        </w:r>
      </w:hyperlink>
      <w:hyperlink r:id="rId27">
        <w:r>
          <w:rPr>
            <w:rStyle w:val="Hyperlink"/>
          </w:rPr>
          <w:t xml:space="preserve">[7]</w:t>
        </w:r>
      </w:hyperlink>
      <w:hyperlink r:id="rId21">
        <w:r>
          <w:rPr>
            <w:rStyle w:val="Hyperlink"/>
          </w:rPr>
          <w:t xml:space="preserve">[1]</w:t>
        </w:r>
      </w:hyperlink>
      <w:r>
        <w:t xml:space="preserve">. Applicants should verify the latest requirements on the relevant government portals (Greater Chennai Corporation, TN e-Sevai, FoSCoS FSSAI, TNPCB, TN Excise, etc.) when preparing applications.</w:t>
      </w:r>
    </w:p>
    <w:bookmarkStart w:id="30" w:name="references"/>
    <w:p>
      <w:pPr>
        <w:pStyle w:val="Heading3"/>
      </w:pPr>
      <w:r>
        <w:t xml:space="preserve">References</w:t>
      </w:r>
    </w:p>
    <w:p>
      <w:pPr>
        <w:pStyle w:val="Compact"/>
        <w:numPr>
          <w:ilvl w:val="0"/>
          <w:numId w:val="1003"/>
        </w:numPr>
      </w:pPr>
      <w:r>
        <w:t xml:space="preserve">Tamil Nadu</w:t>
      </w:r>
      <w:r>
        <w:t xml:space="preserve"> </w:t>
      </w:r>
      <w:r>
        <w:rPr>
          <w:i/>
          <w:iCs/>
        </w:rPr>
        <w:t xml:space="preserve">Catering Establishments Act, 1958</w:t>
      </w:r>
      <w:r>
        <w:t xml:space="preserve"> </w:t>
      </w:r>
      <w:r>
        <w:t xml:space="preserve">(governs restaurant labor conditions)</w:t>
      </w:r>
      <w:hyperlink r:id="rId21">
        <w:r>
          <w:rPr>
            <w:rStyle w:val="Hyperlink"/>
          </w:rPr>
          <w:t xml:space="preserve">[1]</w:t>
        </w:r>
      </w:hyperlink>
      <w:r>
        <w:t xml:space="preserve">.</w:t>
      </w:r>
    </w:p>
    <w:p>
      <w:pPr>
        <w:pStyle w:val="Compact"/>
        <w:numPr>
          <w:ilvl w:val="0"/>
          <w:numId w:val="1003"/>
        </w:numPr>
      </w:pPr>
      <w:r>
        <w:t xml:space="preserve">Chennai Corporation Trade Licence schedules (fees &amp; categories)</w:t>
      </w:r>
      <w:hyperlink r:id="rId25">
        <w:r>
          <w:rPr>
            <w:rStyle w:val="Hyperlink"/>
          </w:rPr>
          <w:t xml:space="preserve">[5]</w:t>
        </w:r>
      </w:hyperlink>
      <w:r>
        <w:t xml:space="preserve">.</w:t>
      </w:r>
    </w:p>
    <w:p>
      <w:pPr>
        <w:pStyle w:val="Compact"/>
        <w:numPr>
          <w:ilvl w:val="0"/>
          <w:numId w:val="1003"/>
        </w:numPr>
      </w:pPr>
      <w:r>
        <w:t xml:space="preserve">Chennai municipal licence conditions (sanitation, whitewashing, license display, CCTV, fire safety)</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3"/>
        </w:numPr>
      </w:pPr>
      <w:r>
        <w:t xml:space="preserve">Food Safety &amp; Standards Authority of India (FSSAI) guidelines (licence vs registration by turnover)</w:t>
      </w:r>
      <w:hyperlink r:id="rId22">
        <w:r>
          <w:rPr>
            <w:rStyle w:val="Hyperlink"/>
          </w:rPr>
          <w:t xml:space="preserve">[2]</w:t>
        </w:r>
      </w:hyperlink>
      <w:r>
        <w:t xml:space="preserve">.</w:t>
      </w:r>
    </w:p>
    <w:p>
      <w:pPr>
        <w:pStyle w:val="Compact"/>
        <w:numPr>
          <w:ilvl w:val="0"/>
          <w:numId w:val="1003"/>
        </w:numPr>
      </w:pPr>
      <w:r>
        <w:t xml:space="preserve">Chennai Building Permit SOP (plan/CMDA requirements for commercial buildings)</w:t>
      </w:r>
      <w:hyperlink r:id="rId27">
        <w:r>
          <w:rPr>
            <w:rStyle w:val="Hyperlink"/>
          </w:rPr>
          <w:t xml:space="preserve">[7]</w:t>
        </w:r>
      </w:hyperlink>
      <w:r>
        <w:t xml:space="preserve">.</w:t>
      </w:r>
    </w:p>
    <w:bookmarkEnd w:id="30"/>
    <w:bookmarkEnd w:id="31"/>
    <w:bookmarkEnd w:id="32"/>
    <w:bookmarkEnd w:id="33"/>
    <w:p>
      <w:r>
        <w:pict>
          <v:rect style="width:0;height:1.5pt" o:hralign="center" o:hrstd="t" o:hr="t"/>
        </w:pict>
      </w:r>
    </w:p>
    <w:bookmarkStart w:id="40" w:name="citations"/>
    <w:p>
      <w:pPr>
        <w:pStyle w:val="FirstParagraph"/>
      </w:pPr>
      <w:hyperlink r:id="rId21">
        <w:r>
          <w:rPr>
            <w:rStyle w:val="Hyperlink"/>
          </w:rPr>
          <w:t xml:space="preserve">[1]</w:t>
        </w:r>
      </w:hyperlink>
      <w:r>
        <w:t xml:space="preserve"> </w:t>
      </w:r>
      <w:r>
        <w:t xml:space="preserve">indiacode.nic.in</w:t>
      </w:r>
    </w:p>
    <w:p>
      <w:pPr>
        <w:pStyle w:val="BodyText"/>
      </w:pPr>
      <w:hyperlink r:id="rId34">
        <w:r>
          <w:rPr>
            <w:rStyle w:val="Hyperlink"/>
          </w:rPr>
          <w:t xml:space="preserve">https://www.indiacode.nic.in/bitstream/123456789/13137/1/tn-catering-establishments-act_1958.pdf</w:t>
        </w:r>
      </w:hyperlink>
    </w:p>
    <w:p>
      <w:pPr>
        <w:pStyle w:val="BodyText"/>
      </w:pPr>
      <w:hyperlink r:id="rId22">
        <w:r>
          <w:rPr>
            <w:rStyle w:val="Hyperlink"/>
          </w:rPr>
          <w:t xml:space="preserve">[2]</w:t>
        </w:r>
      </w:hyperlink>
      <w:r>
        <w:t xml:space="preserve"> </w:t>
      </w:r>
      <w:r>
        <w:t xml:space="preserve">foscos.fssai.gov.in</w:t>
      </w:r>
    </w:p>
    <w:p>
      <w:pPr>
        <w:pStyle w:val="BodyText"/>
      </w:pPr>
      <w:hyperlink r:id="rId35">
        <w:r>
          <w:rPr>
            <w:rStyle w:val="Hyperlink"/>
          </w:rPr>
          <w:t xml:space="preserve">https://foscos.fssai.gov.in/assets/docs/KindofBusinessEligibilityLatest.pdf</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9">
        <w:r>
          <w:rPr>
            <w:rStyle w:val="Hyperlink"/>
          </w:rPr>
          <w:t xml:space="preserve">[9]</w:t>
        </w:r>
      </w:hyperlink>
      <w:r>
        <w:t xml:space="preserve"> </w:t>
      </w:r>
      <w:r>
        <w:t xml:space="preserve">erp.chennaicorporation.gov.in</w:t>
      </w:r>
    </w:p>
    <w:p>
      <w:pPr>
        <w:pStyle w:val="BodyText"/>
      </w:pPr>
      <w:hyperlink r:id="rId36">
        <w:r>
          <w:rPr>
            <w:rStyle w:val="Hyperlink"/>
          </w:rPr>
          <w:t xml:space="preserve">https://erp.chennaicorporation.gov.in/egtradelicense/citizen/newLicenseApplication!duplicateLicense.action?licenseId=96409</w:t>
        </w:r>
      </w:hyperlink>
    </w:p>
    <w:p>
      <w:pPr>
        <w:pStyle w:val="BodyText"/>
      </w:pPr>
      <w:hyperlink r:id="rId25">
        <w:r>
          <w:rPr>
            <w:rStyle w:val="Hyperlink"/>
          </w:rPr>
          <w:t xml:space="preserve">[5]</w:t>
        </w:r>
      </w:hyperlink>
      <w:r>
        <w:t xml:space="preserve"> </w:t>
      </w:r>
      <w:r>
        <w:t xml:space="preserve">Microsoft Word - Schedule 1 2 3 4 5 6.docx</w:t>
      </w:r>
    </w:p>
    <w:p>
      <w:pPr>
        <w:pStyle w:val="BodyText"/>
      </w:pPr>
      <w:hyperlink r:id="rId37">
        <w:r>
          <w:rPr>
            <w:rStyle w:val="Hyperlink"/>
          </w:rPr>
          <w:t xml:space="preserve">https://chennaicorporation.gov.in/trade_lic_sch/core%20zone4%205%206%208%209%2010%2013.pdf</w:t>
        </w:r>
      </w:hyperlink>
    </w:p>
    <w:p>
      <w:pPr>
        <w:pStyle w:val="BodyText"/>
      </w:pPr>
      <w:hyperlink r:id="rId27">
        <w:r>
          <w:rPr>
            <w:rStyle w:val="Hyperlink"/>
          </w:rPr>
          <w:t xml:space="preserve">[7]</w:t>
        </w:r>
      </w:hyperlink>
      <w:r>
        <w:t xml:space="preserve"> </w:t>
      </w:r>
      <w:r>
        <w:t xml:space="preserve">chennaicorporation.gov.in</w:t>
      </w:r>
    </w:p>
    <w:p>
      <w:pPr>
        <w:pStyle w:val="BodyText"/>
      </w:pPr>
      <w:hyperlink r:id="rId38">
        <w:r>
          <w:rPr>
            <w:rStyle w:val="Hyperlink"/>
          </w:rPr>
          <w:t xml:space="preserve">https://chennaicorporation.gov.in/departments/town-planning/Procedure_GCC_Building%20Permit.pdf</w:t>
        </w:r>
      </w:hyperlink>
    </w:p>
    <w:p>
      <w:pPr>
        <w:pStyle w:val="BodyText"/>
      </w:pPr>
      <w:hyperlink r:id="rId28">
        <w:r>
          <w:rPr>
            <w:rStyle w:val="Hyperlink"/>
          </w:rPr>
          <w:t xml:space="preserve">[8]</w:t>
        </w:r>
      </w:hyperlink>
      <w:r>
        <w:t xml:space="preserve"> </w:t>
      </w:r>
      <w:r>
        <w:t xml:space="preserve">Fire NOC Requirements for Restaurants and Hotels in Chennai – Approval Guru</w:t>
      </w:r>
    </w:p>
    <w:p>
      <w:pPr>
        <w:pStyle w:val="BodyText"/>
      </w:pPr>
      <w:hyperlink r:id="rId39">
        <w:r>
          <w:rPr>
            <w:rStyle w:val="Hyperlink"/>
          </w:rPr>
          <w:t xml:space="preserve">https://approvalguru.in/fire-noc-requirements-for-restaurants-and-hotels-in-chennai/</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approvalguru.in/fire-noc-requirements-for-restaurants-and-hotels-in-chennai/" TargetMode="External" /><Relationship Type="http://schemas.openxmlformats.org/officeDocument/2006/relationships/hyperlink" Id="rId28" Target="https://approvalguru.in/fire-noc-requirements-for-restaurants-and-hotels-in-chennai/#:~:text=,capacity%20exceeding%2050" TargetMode="External" /><Relationship Type="http://schemas.openxmlformats.org/officeDocument/2006/relationships/hyperlink" Id="rId38" Target="https://chennaicorporation.gov.in/departments/town-planning/Procedure_GCC_Building%20Permit.pdf" TargetMode="External" /><Relationship Type="http://schemas.openxmlformats.org/officeDocument/2006/relationships/hyperlink" Id="rId27" Target="https://chennaicorporation.gov.in/departments/town-planning/Procedure_GCC_Building%20Permit.pdf#:~:text=For%20obtaining%20planning%20permission%20of,processed%20in%20Headquarters%2C%20Works%20Department" TargetMode="External" /><Relationship Type="http://schemas.openxmlformats.org/officeDocument/2006/relationships/hyperlink" Id="rId37" Target="https://chennaicorporation.gov.in/trade_lic_sch/core%20zone4%205%206%208%209%2010%2013.pdf" TargetMode="External" /><Relationship Type="http://schemas.openxmlformats.org/officeDocument/2006/relationships/hyperlink" Id="rId25" Target="https://chennaicorporation.gov.in/trade_lic_sch/core%20zone4%205%206%208%209%2010%2013.pdf#:~:text=5,Above%201000%20Sq.Ft.%20Rs.10%2C000" TargetMode="External" /><Relationship Type="http://schemas.openxmlformats.org/officeDocument/2006/relationships/hyperlink" Id="rId36" Target="https://erp.chennaicorporation.gov.in/egtradelicense/citizen/newLicenseApplication!duplicateLicense.action?licenseId=96409" TargetMode="External" /><Relationship Type="http://schemas.openxmlformats.org/officeDocument/2006/relationships/hyperlink" Id="rId26" Target="https://erp.chennaicorporation.gov.in/egtradelicense/citizen/newLicenseApplication!duplicateLicense.action?licenseId=96409#:~:text=10,Television%20units%20in%20the%20public" TargetMode="External" /><Relationship Type="http://schemas.openxmlformats.org/officeDocument/2006/relationships/hyperlink" Id="rId23" Target="https://erp.chennaicorporation.gov.in/egtradelicense/citizen/newLicenseApplication!duplicateLicense.action?licenseId=96409#:~:text=10,any%20time%20by%20day%20or" TargetMode="External" /><Relationship Type="http://schemas.openxmlformats.org/officeDocument/2006/relationships/hyperlink" Id="rId29" Target="https://erp.chennaicorporation.gov.in/egtradelicense/citizen/newLicenseApplication!duplicateLicense.action?licenseId=96409#:~:text=15,of%20every%20latrine%20and%20water" TargetMode="External" /><Relationship Type="http://schemas.openxmlformats.org/officeDocument/2006/relationships/hyperlink" Id="rId24" Target="https://erp.chennaicorporation.gov.in/egtradelicense/citizen/newLicenseApplication!duplicateLicense.action?licenseId=96409#:~:text=The%20licensee%20shall%20provide%20suitable,in%20good%20order%20and%20every" TargetMode="External" /><Relationship Type="http://schemas.openxmlformats.org/officeDocument/2006/relationships/hyperlink" Id="rId35" Target="https://foscos.fssai.gov.in/assets/docs/KindofBusinessEligibilityLatest.pdf" TargetMode="External" /><Relationship Type="http://schemas.openxmlformats.org/officeDocument/2006/relationships/hyperlink" Id="rId22" Target="https://foscos.fssai.gov.in/assets/docs/KindofBusinessEligibilityLatest.pdf#:~:text=Rs,units%20other%20than%20Dairy%20Units" TargetMode="External" /><Relationship Type="http://schemas.openxmlformats.org/officeDocument/2006/relationships/hyperlink" Id="rId34" Target="https://www.indiacode.nic.in/bitstream/123456789/13137/1/tn-catering-establishments-act_1958.pdf" TargetMode="External" /><Relationship Type="http://schemas.openxmlformats.org/officeDocument/2006/relationships/hyperlink" Id="rId21" Target="https://www.indiacode.nic.in/bitstream/123456789/13137/1/tn-catering-establishments-act_1958.pdf#:~:text=An%20Act%20to%20provide%20for,may%20be%20called%20the%20Tamil" TargetMode="External" /></Relationships>
</file>

<file path=word/_rels/footnotes.xml.rels><?xml version="1.0" encoding="UTF-8"?><Relationships xmlns="http://schemas.openxmlformats.org/package/2006/relationships"><Relationship Type="http://schemas.openxmlformats.org/officeDocument/2006/relationships/hyperlink" Id="rId39" Target="https://approvalguru.in/fire-noc-requirements-for-restaurants-and-hotels-in-chennai/" TargetMode="External" /><Relationship Type="http://schemas.openxmlformats.org/officeDocument/2006/relationships/hyperlink" Id="rId28" Target="https://approvalguru.in/fire-noc-requirements-for-restaurants-and-hotels-in-chennai/#:~:text=,capacity%20exceeding%2050" TargetMode="External" /><Relationship Type="http://schemas.openxmlformats.org/officeDocument/2006/relationships/hyperlink" Id="rId38" Target="https://chennaicorporation.gov.in/departments/town-planning/Procedure_GCC_Building%20Permit.pdf" TargetMode="External" /><Relationship Type="http://schemas.openxmlformats.org/officeDocument/2006/relationships/hyperlink" Id="rId27" Target="https://chennaicorporation.gov.in/departments/town-planning/Procedure_GCC_Building%20Permit.pdf#:~:text=For%20obtaining%20planning%20permission%20of,processed%20in%20Headquarters%2C%20Works%20Department" TargetMode="External" /><Relationship Type="http://schemas.openxmlformats.org/officeDocument/2006/relationships/hyperlink" Id="rId37" Target="https://chennaicorporation.gov.in/trade_lic_sch/core%20zone4%205%206%208%209%2010%2013.pdf" TargetMode="External" /><Relationship Type="http://schemas.openxmlformats.org/officeDocument/2006/relationships/hyperlink" Id="rId25" Target="https://chennaicorporation.gov.in/trade_lic_sch/core%20zone4%205%206%208%209%2010%2013.pdf#:~:text=5,Above%201000%20Sq.Ft.%20Rs.10%2C000" TargetMode="External" /><Relationship Type="http://schemas.openxmlformats.org/officeDocument/2006/relationships/hyperlink" Id="rId36" Target="https://erp.chennaicorporation.gov.in/egtradelicense/citizen/newLicenseApplication!duplicateLicense.action?licenseId=96409" TargetMode="External" /><Relationship Type="http://schemas.openxmlformats.org/officeDocument/2006/relationships/hyperlink" Id="rId26" Target="https://erp.chennaicorporation.gov.in/egtradelicense/citizen/newLicenseApplication!duplicateLicense.action?licenseId=96409#:~:text=10,Television%20units%20in%20the%20public" TargetMode="External" /><Relationship Type="http://schemas.openxmlformats.org/officeDocument/2006/relationships/hyperlink" Id="rId23" Target="https://erp.chennaicorporation.gov.in/egtradelicense/citizen/newLicenseApplication!duplicateLicense.action?licenseId=96409#:~:text=10,any%20time%20by%20day%20or" TargetMode="External" /><Relationship Type="http://schemas.openxmlformats.org/officeDocument/2006/relationships/hyperlink" Id="rId29" Target="https://erp.chennaicorporation.gov.in/egtradelicense/citizen/newLicenseApplication!duplicateLicense.action?licenseId=96409#:~:text=15,of%20every%20latrine%20and%20water" TargetMode="External" /><Relationship Type="http://schemas.openxmlformats.org/officeDocument/2006/relationships/hyperlink" Id="rId24" Target="https://erp.chennaicorporation.gov.in/egtradelicense/citizen/newLicenseApplication!duplicateLicense.action?licenseId=96409#:~:text=The%20licensee%20shall%20provide%20suitable,in%20good%20order%20and%20every" TargetMode="External" /><Relationship Type="http://schemas.openxmlformats.org/officeDocument/2006/relationships/hyperlink" Id="rId35" Target="https://foscos.fssai.gov.in/assets/docs/KindofBusinessEligibilityLatest.pdf" TargetMode="External" /><Relationship Type="http://schemas.openxmlformats.org/officeDocument/2006/relationships/hyperlink" Id="rId22" Target="https://foscos.fssai.gov.in/assets/docs/KindofBusinessEligibilityLatest.pdf#:~:text=Rs,units%20other%20than%20Dairy%20Units" TargetMode="External" /><Relationship Type="http://schemas.openxmlformats.org/officeDocument/2006/relationships/hyperlink" Id="rId34" Target="https://www.indiacode.nic.in/bitstream/123456789/13137/1/tn-catering-establishments-act_1958.pdf" TargetMode="External" /><Relationship Type="http://schemas.openxmlformats.org/officeDocument/2006/relationships/hyperlink" Id="rId21" Target="https://www.indiacode.nic.in/bitstream/123456789/13137/1/tn-catering-establishments-act_1958.pdf#:~:text=An%20Act%20to%20provide%20for,may%20be%20called%20the%20Tami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2026-03-02T13:07:31Z</dcterms:created>
  <dcterms:modified xsi:type="dcterms:W3CDTF">2026-03-02T13:07:31Z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