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Kolkata Restaurant Licensing &amp; Compliance Guide (Official Sources)</w:t>
      </w:r>
    </w:p>
    <w:p>
      <w:pPr>
        <w:pStyle w:val="Heading2"/>
      </w:pPr>
      <w:r>
        <w:t>Overview</w:t>
      </w:r>
    </w:p>
    <w:p>
      <w:r>
        <w:t>This document covers restaurant licensing in Kolkata, West Bengal. Businesses must comply with KMC (Kolkata Municipal Corporation), West Bengal state, and central government regulations.</w:t>
      </w:r>
    </w:p>
    <w:p>
      <w:pPr>
        <w:pStyle w:val="Heading2"/>
      </w:pPr>
      <w:r>
        <w:t>1. FSSAI License / Registration</w:t>
      </w:r>
    </w:p>
    <w:p>
      <w:r>
        <w:t>All food businesses need FSSAI compliance. Turnover ≤ ₹12 lakh: Registration. &gt; ₹12 lakh: State License. Online via FoSCoS. Display of FSSAI license at premises is mandatory.</w:t>
      </w:r>
    </w:p>
    <w:p>
      <w:pPr>
        <w:pStyle w:val="Heading2"/>
      </w:pPr>
      <w:r>
        <w:t>2. KMC Trade License</w:t>
      </w:r>
    </w:p>
    <w:p>
      <w:r>
        <w:t>Trade License from KMC mandatory. Apply through KMC e-services portal. Fee depends on area and type of business. Required: property deed/lease, NOC from building owner, ID proof, PAN. Annual renewal. Can be done online.</w:t>
      </w:r>
    </w:p>
    <w:p>
      <w:pPr>
        <w:pStyle w:val="Heading2"/>
      </w:pPr>
      <w:r>
        <w:t>3. KMC Health License</w:t>
      </w:r>
    </w:p>
    <w:p>
      <w:r>
        <w:t>Health License from KMC Health Department required. Inspection of premises for hygiene compliance. Clean water supply certificate needed. Pest control and waste management compliance. Medical fitness of food handlers.</w:t>
      </w:r>
    </w:p>
    <w:p>
      <w:pPr>
        <w:pStyle w:val="Heading2"/>
      </w:pPr>
      <w:r>
        <w:t>4. Fire Safety License</w:t>
      </w:r>
    </w:p>
    <w:p>
      <w:r>
        <w:t>Fire Safety License from West Bengal Fire &amp; Emergency Services required for: Restaurants with area above 500 sq ft. Buildings above ground floor. Seating capacity above 50 persons. Requirements: Fire extinguishers — 1 per 1000 sq ft minimum. 2 exits mandatory for area above 800 sq ft. Exit width: minimum 1.0 meter. Staircase width: minimum 1.2 meters. Fire-resistant kitchen materials. Emergency exit lighting. Annual fire safety inspection.</w:t>
      </w:r>
    </w:p>
    <w:p>
      <w:pPr>
        <w:pStyle w:val="Heading2"/>
      </w:pPr>
      <w:r>
        <w:t>5. Building Plan Sanction</w:t>
      </w:r>
    </w:p>
    <w:p>
      <w:r>
        <w:t>Building plan sanction from KMC required for new construction or change of use. Plans prepared by registered architect (registered with Council of Architecture). FAR for commercial in Kolkata: 2.0 to 3.0 depending on road width and zone. Minimum floor height: 2.75 meters. Kolkata Municipal Corporation Building Rules apply. Heritage zone restrictions apply in certain areas (Esplanade, BBD Bagh, etc.).</w:t>
      </w:r>
    </w:p>
    <w:p>
      <w:pPr>
        <w:pStyle w:val="Heading2"/>
      </w:pPr>
      <w:r>
        <w:t>6. West Bengal Excise License</w:t>
      </w:r>
    </w:p>
    <w:p>
      <w:r>
        <w:t>ON-2 or ON-3 license from WB Excise Department for serving liquor. Minimum covered area: 750 sq ft for ON-2, 1000 sq ft for ON-3. Distance from religious/educational: 100 meters. Serving hours: 10 AM to midnight.</w:t>
      </w:r>
    </w:p>
    <w:p>
      <w:pPr>
        <w:pStyle w:val="Heading2"/>
      </w:pPr>
      <w:r>
        <w:t>7. Police Permission</w:t>
      </w:r>
    </w:p>
    <w:p>
      <w:r>
        <w:t>NOC from Kolkata Police for restaurants. Background verification. CCTV mandatory. Entertainment license if live music/performance.</w:t>
      </w:r>
    </w:p>
    <w:p>
      <w:pPr>
        <w:pStyle w:val="Heading2"/>
      </w:pPr>
      <w:r>
        <w:t>8. Environmental NOC</w:t>
      </w:r>
    </w:p>
    <w:p>
      <w:r>
        <w:t>NOC from West Bengal Pollution Control Board (WBPCB) for significant emissions. Kitchen exhaust compliance. Noise limits: 55 dB day, 45 dB night. Rainwater harvesting recommended for buildings above 500 sq meters.</w:t>
      </w:r>
    </w:p>
    <w:p>
      <w:pPr>
        <w:pStyle w:val="Heading2"/>
      </w:pPr>
      <w:r>
        <w:t>Key Compliance Checkpoints for Blueprint Review</w:t>
      </w:r>
    </w:p>
    <w:p>
      <w:r>
        <w:t>Floor plan must clearly show: kitchen, dining, exits, restrooms, fire equipment. Kitchen must be present for food establishments. Minimum 2 exits for area above 800 sq ft. Heritage zone buildings may have height and facade restrictions. Parking as per KMC norms. Proper ventilation in kitchen area (exhaust system on plan).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