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7C3AED"/>
          <w:sz w:val="40"/>
          <w:szCs w:val="40"/>
        </w:rPr>
        <w:t xml:space="preserve">Sales Forecasting &amp; Demand Intelligence</w:t>
      </w:r>
    </w:p>
    <w:p>
      <w:pPr>
        <w:spacing w:after="150"/>
      </w:pPr>
      <w:r>
        <w:rPr>
          <w:i/>
          <w:iCs/>
          <w:color w:val="6B7280"/>
          <w:sz w:val="20"/>
          <w:szCs w:val="20"/>
        </w:rPr>
        <w:t xml:space="preserve">Executive Business Report  ·  Prepared for the Head of Supply Chain &amp; CFO  ·  Superstore Sales, 2015–2018</w:t>
      </w:r>
    </w:p>
    <w:p>
      <w:pPr>
        <w:pStyle w:val="Heading1"/>
        <w:spacing w:after="35" w:before="90"/>
      </w:pPr>
      <w:r>
        <w:rPr>
          <w:b/>
          <w:bCs/>
          <w:color w:val="7C3AED"/>
        </w:rPr>
        <w:t xml:space="preserve">Executive Summary</w:t>
      </w:r>
    </w:p>
    <w:p>
      <w:pPr>
        <w:spacing w:after="65" w:line="240"/>
      </w:pPr>
      <w:r>
        <w:rPr>
          <w:sz w:val="19"/>
          <w:szCs w:val="19"/>
        </w:rPr>
        <w:t xml:space="preserve">Over the past four years the business grew steadily to roughly $2.26 million in total sales, with Technology, Furniture, and Office Supplies each contributing a similar share. Every November and December, sales jump sharply for the holiday season and then drop off in January and February — a pattern repeated every single year. We built four different forecasting approaches and combined the three independent ones into a blended “ensemble” model, which now gives our most accurate month-ahead forecast, typically within about 17% of the actual number. We also built an early-warning system that flags unusual sales weeks, a system that groups our 17 product sub-categories into four demand types, and — new this update — a customer-level segmentation, a model-explainability view, and an inventory cost simulator, all available in the live dashboard alongside this report.</w:t>
      </w:r>
    </w:p>
    <w:p>
      <w:pPr>
        <w:pStyle w:val="Heading1"/>
        <w:spacing w:after="35" w:before="90"/>
      </w:pPr>
      <w:r>
        <w:rPr>
          <w:b/>
          <w:bCs/>
          <w:color w:val="7C3AED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45" w:line="228"/>
      </w:pPr>
      <w:r>
        <w:rPr>
          <w:b/>
          <w:bCs/>
          <w:color w:val="1E1330"/>
          <w:sz w:val="19"/>
          <w:szCs w:val="19"/>
        </w:rPr>
        <w:t xml:space="preserve">Technology is the top revenue category </w:t>
      </w:r>
      <w:r>
        <w:rPr>
          <w:sz w:val="19"/>
          <w:szCs w:val="19"/>
        </w:rPr>
        <w:t xml:space="preserve">at $827,456 over four years, narrowly ahead of Furniture ($728,659) and Office Supplies ($705,422) — but Technology's growth is the flattest of the three going forward (see forecast section).</w:t>
      </w:r>
    </w:p>
    <w:p>
      <w:pPr>
        <w:pStyle w:val="ListParagraph"/>
        <w:numPr>
          <w:ilvl w:val="0"/>
          <w:numId w:val="1"/>
        </w:numPr>
        <w:spacing w:after="45" w:line="228"/>
      </w:pPr>
      <w:r>
        <w:rPr>
          <w:b/>
          <w:bCs/>
          <w:color w:val="1E1330"/>
          <w:sz w:val="19"/>
          <w:szCs w:val="19"/>
        </w:rPr>
        <w:t xml:space="preserve">East is the most consistently growing region, </w:t>
      </w:r>
      <w:r>
        <w:rPr>
          <w:sz w:val="19"/>
          <w:szCs w:val="19"/>
        </w:rPr>
        <w:t xml:space="preserve">increasing every year from 2015 to 2018, while South dipped in 2016 before recovering. California and New York alone account for a large share of total sales within their regions.</w:t>
      </w:r>
    </w:p>
    <w:p>
      <w:pPr>
        <w:pStyle w:val="ListParagraph"/>
        <w:numPr>
          <w:ilvl w:val="0"/>
          <w:numId w:val="1"/>
        </w:numPr>
        <w:spacing w:after="45" w:line="228"/>
      </w:pPr>
      <w:r>
        <w:rPr>
          <w:b/>
          <w:bCs/>
          <w:color w:val="1E1330"/>
          <w:sz w:val="19"/>
          <w:szCs w:val="19"/>
        </w:rPr>
        <w:t xml:space="preserve">Shipping takes about 4 days on average </w:t>
      </w:r>
      <w:r>
        <w:rPr>
          <w:sz w:val="19"/>
          <w:szCs w:val="19"/>
        </w:rPr>
        <w:t xml:space="preserve">and barely varies by region — delivery speed is driven by shipping method choice, not geography.</w:t>
      </w:r>
    </w:p>
    <w:p>
      <w:pPr>
        <w:pStyle w:val="ListParagraph"/>
        <w:numPr>
          <w:ilvl w:val="0"/>
          <w:numId w:val="1"/>
        </w:numPr>
        <w:spacing w:after="45" w:line="228"/>
      </w:pPr>
      <w:r>
        <w:rPr>
          <w:b/>
          <w:bCs/>
          <w:color w:val="1E1330"/>
          <w:sz w:val="19"/>
          <w:szCs w:val="19"/>
        </w:rPr>
        <w:t xml:space="preserve">Seasonality is strong, not weak: </w:t>
      </w:r>
      <w:r>
        <w:rPr>
          <w:sz w:val="19"/>
          <w:szCs w:val="19"/>
        </w:rPr>
        <w:t xml:space="preserve">November and December consistently spike due to holiday demand, and September shows a smaller repeated bump, while January and February are reliably the slowest months every year.</w:t>
      </w:r>
    </w:p>
    <w:p>
      <w:pPr>
        <w:pStyle w:val="ListParagraph"/>
        <w:numPr>
          <w:ilvl w:val="0"/>
          <w:numId w:val="1"/>
        </w:numPr>
        <w:spacing w:after="45" w:line="228"/>
      </w:pPr>
      <w:r>
        <w:rPr>
          <w:b/>
          <w:bCs/>
          <w:color w:val="1E1330"/>
          <w:sz w:val="19"/>
          <w:szCs w:val="19"/>
        </w:rPr>
        <w:t xml:space="preserve">Combining models beats any single model: </w:t>
      </w:r>
      <w:r>
        <w:rPr>
          <w:sz w:val="19"/>
          <w:szCs w:val="19"/>
        </w:rPr>
        <w:t xml:space="preserve">a weighted blend of our three independent forecasting approaches now outperforms every individual model on every accuracy metric tested — a standard result in forecasting, since each model tends to make different mistakes that partly cancel out when averaged.</w:t>
      </w:r>
    </w:p>
    <w:p>
      <w:pPr>
        <w:pStyle w:val="Heading1"/>
        <w:spacing w:after="35" w:before="90"/>
      </w:pPr>
      <w:r>
        <w:rPr>
          <w:b/>
          <w:bCs/>
          <w:color w:val="7C3AED"/>
        </w:rPr>
        <w:t xml:space="preserve">3-Month Sales Forecast</w:t>
      </w:r>
    </w:p>
    <w:p>
      <w:pPr>
        <w:spacing w:after="65" w:line="240"/>
      </w:pPr>
      <w:r>
        <w:rPr>
          <w:sz w:val="19"/>
          <w:szCs w:val="19"/>
        </w:rPr>
        <w:t xml:space="preserve">We tested four forecasting approaches on the most recent three months of actual data (October–December 2018): three independent models, plus a blended “ensemble” that combines all three, weighted toward whichever has been most accurate historically. The ensemble now gives the closest match to actual results, missing the monthly total by about $16,200 on average (about 16.6% of a typical month's sales).</w:t>
      </w:r>
    </w:p>
    <w:tbl>
      <w:tblPr>
        <w:tblW w:type="dxa" w:w="11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1300"/>
        <w:gridCol w:w="1400"/>
        <w:gridCol w:w="1500"/>
        <w:gridCol w:w="1500"/>
        <w:gridCol w:w="1500"/>
      </w:tblGrid>
      <w:tr>
        <w:trPr>
          <w:tblHeader/>
        </w:trPr>
        <w:tc>
          <w:tcPr>
            <w:tcW w:type="dxa" w:w="2100"/>
            <w:shd w:fill="7C3AED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300"/>
            <w:shd w:fill="7C3AED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MAE ($)</w:t>
            </w:r>
          </w:p>
        </w:tc>
        <w:tc>
          <w:tcPr>
            <w:tcW w:type="dxa" w:w="1300"/>
            <w:shd w:fill="7C3AED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RMSE ($)</w:t>
            </w:r>
          </w:p>
        </w:tc>
        <w:tc>
          <w:tcPr>
            <w:tcW w:type="dxa" w:w="1400"/>
            <w:shd w:fill="7C3AED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MAPE (%)</w:t>
            </w:r>
          </w:p>
        </w:tc>
        <w:tc>
          <w:tcPr>
            <w:tcW w:type="dxa" w:w="1500"/>
            <w:shd w:fill="7C3AED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Oct Forecast</w:t>
            </w:r>
          </w:p>
        </w:tc>
        <w:tc>
          <w:tcPr>
            <w:tcW w:type="dxa" w:w="1500"/>
            <w:shd w:fill="7C3AED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Nov Forecast</w:t>
            </w:r>
          </w:p>
        </w:tc>
        <w:tc>
          <w:tcPr>
            <w:tcW w:type="dxa" w:w="1500"/>
            <w:shd w:fill="7C3AED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 Forecast</w:t>
            </w:r>
          </w:p>
        </w:tc>
      </w:tr>
      <w:tr>
        <w:tc>
          <w:tcPr>
            <w:tcW w:type="dxa" w:w="2100"/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SARIMA</w:t>
            </w:r>
          </w:p>
        </w:tc>
        <w:tc>
          <w:tcPr>
            <w:tcW w:type="dxa" w:w="1300"/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19,244</w:t>
            </w:r>
          </w:p>
        </w:tc>
        <w:tc>
          <w:tcPr>
            <w:tcW w:type="dxa" w:w="1300"/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19,950</w:t>
            </w:r>
          </w:p>
        </w:tc>
        <w:tc>
          <w:tcPr>
            <w:tcW w:type="dxa" w:w="1400"/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20.5%</w:t>
            </w:r>
          </w:p>
        </w:tc>
        <w:tc>
          <w:tcPr>
            <w:tcW w:type="dxa" w:w="1500"/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$60,332</w:t>
            </w:r>
          </w:p>
        </w:tc>
        <w:tc>
          <w:tcPr>
            <w:tcW w:type="dxa" w:w="1500"/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$91,458</w:t>
            </w:r>
          </w:p>
        </w:tc>
        <w:tc>
          <w:tcPr>
            <w:tcW w:type="dxa" w:w="1500"/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$97,168</w:t>
            </w:r>
          </w:p>
        </w:tc>
      </w:tr>
      <w:tr>
        <w:tc>
          <w:tcPr>
            <w:tcW w:type="dxa" w:w="21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Prophet (+ holidays)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20,296</w:t>
            </w:r>
          </w:p>
        </w:tc>
        <w:tc>
          <w:tcPr>
            <w:tcW w:type="dxa" w:w="13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22,487</w:t>
            </w:r>
          </w:p>
        </w:tc>
        <w:tc>
          <w:tcPr>
            <w:tcW w:type="dxa" w:w="14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21.9%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$51,084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$90,045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$89,661</w:t>
            </w:r>
          </w:p>
        </w:tc>
      </w:tr>
      <w:tr>
        <w:tc>
          <w:tcPr>
            <w:tcW w:type="dxa" w:w="2100"/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XGBoost</w:t>
            </w:r>
          </w:p>
        </w:tc>
        <w:tc>
          <w:tcPr>
            <w:tcW w:type="dxa" w:w="1300"/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16,929</w:t>
            </w:r>
          </w:p>
        </w:tc>
        <w:tc>
          <w:tcPr>
            <w:tcW w:type="dxa" w:w="1300"/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20,086</w:t>
            </w:r>
          </w:p>
        </w:tc>
        <w:tc>
          <w:tcPr>
            <w:tcW w:type="dxa" w:w="1400"/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16.8%</w:t>
            </w:r>
          </w:p>
        </w:tc>
        <w:tc>
          <w:tcPr>
            <w:tcW w:type="dxa" w:w="1500"/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$68,993</w:t>
            </w:r>
          </w:p>
        </w:tc>
        <w:tc>
          <w:tcPr>
            <w:tcW w:type="dxa" w:w="1500"/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$85,752</w:t>
            </w:r>
          </w:p>
        </w:tc>
        <w:tc>
          <w:tcPr>
            <w:tcW w:type="dxa" w:w="1500"/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$72,885</w:t>
            </w:r>
          </w:p>
        </w:tc>
      </w:tr>
      <w:tr>
        <w:tc>
          <w:tcPr>
            <w:tcW w:type="dxa" w:w="2100"/>
            <w:shd w:fill="EDE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Weighted Ensemble (recommended)</w:t>
            </w:r>
          </w:p>
        </w:tc>
        <w:tc>
          <w:tcPr>
            <w:tcW w:type="dxa" w:w="1300"/>
            <w:shd w:fill="EDE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16,222</w:t>
            </w:r>
          </w:p>
        </w:tc>
        <w:tc>
          <w:tcPr>
            <w:tcW w:type="dxa" w:w="1300"/>
            <w:shd w:fill="EDE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19,420</w:t>
            </w:r>
          </w:p>
        </w:tc>
        <w:tc>
          <w:tcPr>
            <w:tcW w:type="dxa" w:w="1400"/>
            <w:shd w:fill="EDE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16.6%</w:t>
            </w:r>
          </w:p>
        </w:tc>
        <w:tc>
          <w:tcPr>
            <w:tcW w:type="dxa" w:w="1500"/>
            <w:shd w:fill="EDE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$60,681</w:t>
            </w:r>
          </w:p>
        </w:tc>
        <w:tc>
          <w:tcPr>
            <w:tcW w:type="dxa" w:w="1500"/>
            <w:shd w:fill="EDE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$88,921</w:t>
            </w:r>
          </w:p>
        </w:tc>
        <w:tc>
          <w:tcPr>
            <w:tcW w:type="dxa" w:w="1500"/>
            <w:shd w:fill="EDE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$85,912</w:t>
            </w:r>
          </w:p>
        </w:tc>
      </w:tr>
    </w:tbl>
    <w:p>
      <w:pPr>
        <w:spacing w:after="60" w:before="100"/>
      </w:pPr>
    </w:p>
    <w:p>
      <w:pPr>
        <w:spacing w:after="65" w:line="240"/>
      </w:pPr>
      <w:r>
        <w:rPr>
          <w:sz w:val="19"/>
          <w:szCs w:val="19"/>
        </w:rPr>
        <w:t xml:space="preserve">In plain language: the ensemble predicted roughly $61,000 for October, $89,000 for November, and $86,000 for December — actual sales came in at $77,000 / $118,000 / $83,000, so it correctly caught the holiday upswing in direction, though it still underestimated November's peak. A separate statistical model (SARIMA) gives a usable margin of error around similar forecasts: for example, it expected November sales to fall somewhere between roughly $64,000 and $119,000 at 95% confidence — and the actual result landed right at the top of that range. Treat any single month's forecast as a midpoint estimate that could reasonably swing 20–30% higher during peak holiday months, and staff/stock accordingly.</w:t>
      </w:r>
    </w:p>
    <w:p>
      <w:pPr>
        <w:spacing w:after="65" w:line="240"/>
      </w:pPr>
      <w:r>
        <w:rPr>
          <w:sz w:val="19"/>
          <w:szCs w:val="19"/>
        </w:rPr>
        <w:t xml:space="preserve">Looking at forecast growth by segment (next 3 months vs. each segment's own trailing 12-month average), Furniture and the East region show the strongest upcoming momentum:</w:t>
      </w:r>
    </w:p>
    <w:tbl>
      <w:tblPr>
        <w:tblW w:type="dxa" w:w="11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3260"/>
        <w:gridCol w:w="3260"/>
      </w:tblGrid>
      <w:tr>
        <w:trPr>
          <w:tblHeader/>
        </w:trPr>
        <w:tc>
          <w:tcPr>
            <w:tcW w:type="dxa" w:w="3900"/>
            <w:shd w:fill="7C3AED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3260"/>
            <w:shd w:fill="7C3AED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3-Month Forecast Growth</w:t>
            </w:r>
          </w:p>
        </w:tc>
        <w:tc>
          <w:tcPr>
            <w:tcW w:type="dxa" w:w="3260"/>
            <w:shd w:fill="7C3AED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900"/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Furniture (Category)</w:t>
            </w:r>
          </w:p>
        </w:tc>
        <w:tc>
          <w:tcPr>
            <w:tcW w:type="dxa" w:w="3260"/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+43.9%</w:t>
            </w:r>
          </w:p>
        </w:tc>
        <w:tc>
          <w:tcPr>
            <w:tcW w:type="dxa" w:w="3260"/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Strongest near-term growth</w:t>
            </w:r>
          </w:p>
        </w:tc>
      </w:tr>
      <w:tr>
        <w:tc>
          <w:tcPr>
            <w:tcW w:type="dxa" w:w="39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East (Region)</w:t>
            </w:r>
          </w:p>
        </w:tc>
        <w:tc>
          <w:tcPr>
            <w:tcW w:type="dxa" w:w="32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+41.4%</w:t>
            </w:r>
          </w:p>
        </w:tc>
        <w:tc>
          <w:tcPr>
            <w:tcW w:type="dxa" w:w="32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Most consistent 4-yr grower</w:t>
            </w:r>
          </w:p>
        </w:tc>
      </w:tr>
      <w:tr>
        <w:tc>
          <w:tcPr>
            <w:tcW w:type="dxa" w:w="3900"/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Office Supplies (Category)</w:t>
            </w:r>
          </w:p>
        </w:tc>
        <w:tc>
          <w:tcPr>
            <w:tcW w:type="dxa" w:w="3260"/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+35.8%</w:t>
            </w:r>
          </w:p>
        </w:tc>
        <w:tc>
          <w:tcPr>
            <w:tcW w:type="dxa" w:w="3260"/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Steady mid-pack growth</w:t>
            </w:r>
          </w:p>
        </w:tc>
      </w:tr>
      <w:tr>
        <w:tc>
          <w:tcPr>
            <w:tcW w:type="dxa" w:w="39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West (Region)</w:t>
            </w:r>
          </w:p>
        </w:tc>
        <w:tc>
          <w:tcPr>
            <w:tcW w:type="dxa" w:w="32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+30.3%</w:t>
            </w:r>
          </w:p>
        </w:tc>
        <w:tc>
          <w:tcPr>
            <w:tcW w:type="dxa" w:w="32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Largest region by volume</w:t>
            </w:r>
          </w:p>
        </w:tc>
      </w:tr>
      <w:tr>
        <w:tc>
          <w:tcPr>
            <w:tcW w:type="dxa" w:w="3900"/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Technology (Category)</w:t>
            </w:r>
          </w:p>
        </w:tc>
        <w:tc>
          <w:tcPr>
            <w:tcW w:type="dxa" w:w="3260"/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+4.8%</w:t>
            </w:r>
          </w:p>
        </w:tc>
        <w:tc>
          <w:tcPr>
            <w:tcW w:type="dxa" w:w="3260"/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Highest revenue, flattest growth</w:t>
            </w:r>
          </w:p>
        </w:tc>
      </w:tr>
    </w:tbl>
    <w:p>
      <w:pPr>
        <w:pStyle w:val="Heading1"/>
        <w:spacing w:after="35" w:before="90"/>
      </w:pPr>
      <w:r>
        <w:rPr>
          <w:b/>
          <w:bCs/>
          <w:color w:val="7C3AED"/>
        </w:rPr>
        <w:t xml:space="preserve">Top 3 Anomalies Detected</w:t>
      </w:r>
    </w:p>
    <w:p>
      <w:pPr>
        <w:pStyle w:val="ListParagraph"/>
        <w:numPr>
          <w:ilvl w:val="0"/>
          <w:numId w:val="1"/>
        </w:numPr>
        <w:spacing w:after="45" w:line="228"/>
      </w:pPr>
      <w:r>
        <w:rPr>
          <w:b/>
          <w:bCs/>
          <w:color w:val="1E1330"/>
          <w:sz w:val="19"/>
          <w:szCs w:val="19"/>
        </w:rPr>
        <w:t xml:space="preserve">March 22, 2015 — $37,704 in a single week </w:t>
      </w:r>
      <w:r>
        <w:rPr>
          <w:sz w:val="19"/>
          <w:szCs w:val="19"/>
        </w:rPr>
        <w:t xml:space="preserve">(more than 5× a typical week that early in the business). Flagged by both detection methods used, making it the highest-confidence anomaly in the dataset. Most likely an early large corporate or bulk order rather than a recurring seasonal pattern, since it falls outside the holiday season.</w:t>
      </w:r>
    </w:p>
    <w:p>
      <w:pPr>
        <w:pStyle w:val="ListParagraph"/>
        <w:numPr>
          <w:ilvl w:val="0"/>
          <w:numId w:val="1"/>
        </w:numPr>
        <w:spacing w:after="45" w:line="228"/>
      </w:pPr>
      <w:r>
        <w:rPr>
          <w:b/>
          <w:bCs/>
          <w:color w:val="1E1330"/>
          <w:sz w:val="19"/>
          <w:szCs w:val="19"/>
        </w:rPr>
        <w:t xml:space="preserve">December 2, 2018 — $35,999 in a single week. </w:t>
      </w:r>
      <w:r>
        <w:rPr>
          <w:sz w:val="19"/>
          <w:szCs w:val="19"/>
        </w:rPr>
        <w:t xml:space="preserve">Falls at the start of the holiday shopping season (post-Thanksgiving/Cyber Monday timing), consistent with a genuine seasonal promotional spike rather than a data issue.</w:t>
      </w:r>
    </w:p>
    <w:p>
      <w:pPr>
        <w:pStyle w:val="ListParagraph"/>
        <w:numPr>
          <w:ilvl w:val="0"/>
          <w:numId w:val="1"/>
        </w:numPr>
        <w:spacing w:after="45" w:line="228"/>
      </w:pPr>
      <w:r>
        <w:rPr>
          <w:b/>
          <w:bCs/>
          <w:color w:val="1E1330"/>
          <w:sz w:val="19"/>
          <w:szCs w:val="19"/>
        </w:rPr>
        <w:t xml:space="preserve">November 18, 2018 — $30,572 in a single week. </w:t>
      </w:r>
      <w:r>
        <w:rPr>
          <w:sz w:val="19"/>
          <w:szCs w:val="19"/>
        </w:rPr>
        <w:t xml:space="preserve">Also within the holiday run-up; likely reflects early Black Friday-adjacent promotional activity.</w:t>
      </w:r>
    </w:p>
    <w:p>
      <w:pPr>
        <w:spacing w:after="65" w:line="240"/>
      </w:pPr>
      <w:r>
        <w:rPr>
          <w:sz w:val="19"/>
          <w:szCs w:val="19"/>
        </w:rPr>
        <w:t xml:space="preserve">Overall, our system flagged 11 unusual weeks out of four years of data using a broad detection method, and 2 using a stricter method that only catches sudden local jumps; only 1 week was flagged by both — most “unusual” weeks turn out to be sustained seasonal periods rather than sudden one-day shocks.</w:t>
      </w:r>
    </w:p>
    <w:p>
      <w:pPr>
        <w:pStyle w:val="Heading1"/>
        <w:spacing w:after="35" w:before="90"/>
      </w:pPr>
      <w:r>
        <w:rPr>
          <w:b/>
          <w:bCs/>
          <w:color w:val="7C3AED"/>
        </w:rPr>
        <w:t xml:space="preserve">Product &amp; Customer Segmentation</w:t>
      </w:r>
    </w:p>
    <w:p>
      <w:pPr>
        <w:spacing w:after="65" w:line="240"/>
      </w:pPr>
      <w:r>
        <w:rPr>
          <w:sz w:val="19"/>
          <w:szCs w:val="19"/>
        </w:rPr>
        <w:t xml:space="preserve">We grouped the 17 product sub-categories into four demand types, and — new this update — applied the same technique to our 793 customers (Recency/Frequency/Monetary segmentation), a standard retail technique for deciding who gets a retention offer versus a win-back discount:</w:t>
      </w:r>
    </w:p>
    <w:tbl>
      <w:tblPr>
        <w:tblW w:type="dxa" w:w="11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800"/>
      </w:tblGrid>
      <w:tr>
        <w:trPr>
          <w:tblHeader/>
        </w:trPr>
        <w:tc>
          <w:tcPr>
            <w:tcW w:type="dxa" w:w="2800"/>
            <w:shd w:fill="7C3AED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2800"/>
            <w:shd w:fill="7C3AED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Sub-Categories</w:t>
            </w:r>
          </w:p>
        </w:tc>
        <w:tc>
          <w:tcPr>
            <w:tcW w:type="dxa" w:w="3800"/>
            <w:shd w:fill="7C3AED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Stocking Strategy</w:t>
            </w:r>
          </w:p>
        </w:tc>
      </w:tr>
      <w:tr>
        <w:tc>
          <w:tcPr>
            <w:tcW w:type="dxa" w:w="2800"/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High Volume, Stable Demand</w:t>
            </w:r>
          </w:p>
        </w:tc>
        <w:tc>
          <w:tcPr>
            <w:tcW w:type="dxa" w:w="2800"/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Accessories, Binders, Chairs, Phones, Storage, Tables</w:t>
            </w:r>
          </w:p>
        </w:tc>
        <w:tc>
          <w:tcPr>
            <w:tcW w:type="dxa" w:w="3800"/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Standard reorder-point inventory, moderate safety stock; automate replenishment.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Growing Demand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Copiers</w:t>
            </w:r>
          </w:p>
        </w:tc>
        <w:tc>
          <w:tcPr>
            <w:tcW w:type="dxa" w:w="3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Increase safety stock ahead of season; review reorder quantities monthly.</w:t>
            </w:r>
          </w:p>
        </w:tc>
      </w:tr>
      <w:tr>
        <w:tc>
          <w:tcPr>
            <w:tcW w:type="dxa" w:w="2800"/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Declining Demand</w:t>
            </w:r>
          </w:p>
        </w:tc>
        <w:tc>
          <w:tcPr>
            <w:tcW w:type="dxa" w:w="2800"/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Machines</w:t>
            </w:r>
          </w:p>
        </w:tc>
        <w:tc>
          <w:tcPr>
            <w:tcW w:type="dxa" w:w="3800"/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Reduce standing inventory; avoid bulk discounts that lock in dead stock.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Low Volume, High Volatility</w:t>
            </w:r>
          </w:p>
        </w:tc>
        <w:tc>
          <w:tcPr>
            <w:tcW w:type="dxa" w:w="2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Appliances, Art, Bookcases, Envelopes, Fasteners, Furnishings, Labels, Paper, Supplies</w:t>
            </w:r>
          </w:p>
        </w:tc>
        <w:tc>
          <w:tcPr>
            <w:tcW w:type="dxa" w:w="38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Keep minimal on-hand stock; use fast reorder cycles or drop-ship.</w:t>
            </w:r>
          </w:p>
        </w:tc>
      </w:tr>
    </w:tbl>
    <w:p>
      <w:pPr>
        <w:spacing w:after="40" w:before="90"/>
      </w:pPr>
    </w:p>
    <w:p>
      <w:pPr>
        <w:spacing w:after="65" w:line="240"/>
      </w:pPr>
      <w:r>
        <w:rPr>
          <w:sz w:val="19"/>
          <w:szCs w:val="19"/>
        </w:rPr>
        <w:t xml:space="preserve">On the customer side: 68 customers qualify as “VIP” (small in number, disproportionately high spend) and 99 are “At Risk / Churned” (haven't ordered in a long time) — both are addressable today via the dashboard's Customer RFM page, which lists each segment's members by name.</w:t>
      </w:r>
    </w:p>
    <w:p>
      <w:pPr>
        <w:pStyle w:val="Heading1"/>
        <w:spacing w:after="35" w:before="90"/>
      </w:pPr>
      <w:r>
        <w:rPr>
          <w:b/>
          <w:bCs/>
          <w:color w:val="7C3AED"/>
        </w:rPr>
        <w:t xml:space="preserve">New Dashboard Capabilities</w:t>
      </w:r>
    </w:p>
    <w:p>
      <w:pPr>
        <w:pStyle w:val="ListParagraph"/>
        <w:numPr>
          <w:ilvl w:val="0"/>
          <w:numId w:val="1"/>
        </w:numPr>
        <w:spacing w:after="45" w:line="228"/>
      </w:pPr>
      <w:r>
        <w:rPr>
          <w:b/>
          <w:bCs/>
          <w:color w:val="1E1330"/>
          <w:sz w:val="19"/>
          <w:szCs w:val="19"/>
        </w:rPr>
        <w:t xml:space="preserve">Model explainability (SHAP): </w:t>
      </w:r>
      <w:r>
        <w:rPr>
          <w:sz w:val="19"/>
          <w:szCs w:val="19"/>
        </w:rPr>
        <w:t xml:space="preserve">the Forecast Explorer page now shows, in dollars, exactly which factors pushed each month's forecast up or down — not just a number, but a reason a manager can sanity-check.</w:t>
      </w:r>
    </w:p>
    <w:p>
      <w:pPr>
        <w:pStyle w:val="ListParagraph"/>
        <w:numPr>
          <w:ilvl w:val="0"/>
          <w:numId w:val="1"/>
        </w:numPr>
        <w:spacing w:after="45" w:line="228"/>
      </w:pPr>
      <w:r>
        <w:rPr>
          <w:b/>
          <w:bCs/>
          <w:color w:val="1E1330"/>
          <w:sz w:val="19"/>
          <w:szCs w:val="19"/>
        </w:rPr>
        <w:t xml:space="preserve">Inventory What-If Lab: </w:t>
      </w:r>
      <w:r>
        <w:rPr>
          <w:sz w:val="19"/>
          <w:szCs w:val="19"/>
        </w:rPr>
        <w:t xml:space="preserve">a cost simulator that estimates the annual $ savings of using our cluster-based safety-stock policy instead of a flat, one-size-fits-all buffer, for any product segment.</w:t>
      </w:r>
    </w:p>
    <w:p>
      <w:pPr>
        <w:pStyle w:val="ListParagraph"/>
        <w:numPr>
          <w:ilvl w:val="0"/>
          <w:numId w:val="1"/>
        </w:numPr>
        <w:spacing w:after="45" w:line="228"/>
      </w:pPr>
      <w:r>
        <w:rPr>
          <w:b/>
          <w:bCs/>
          <w:color w:val="1E1330"/>
          <w:sz w:val="19"/>
          <w:szCs w:val="19"/>
        </w:rPr>
        <w:t xml:space="preserve">Monday Morning Briefing: </w:t>
      </w:r>
      <w:r>
        <w:rPr>
          <w:sz w:val="19"/>
          <w:szCs w:val="19"/>
        </w:rPr>
        <w:t xml:space="preserve">an auto-generated, downloadable one-page summary of the latest forecast, top anomaly, and fastest-growing segment — ready in seconds, no manual copy-pasting.</w:t>
      </w:r>
    </w:p>
    <w:p>
      <w:pPr>
        <w:pStyle w:val="Heading1"/>
        <w:spacing w:after="35" w:before="90"/>
      </w:pPr>
      <w:r>
        <w:rPr>
          <w:b/>
          <w:bCs/>
          <w:color w:val="7C3AED"/>
        </w:rPr>
        <w:t xml:space="preserve">Business Recommendations</w:t>
      </w:r>
    </w:p>
    <w:p>
      <w:pPr>
        <w:pStyle w:val="ListParagraph"/>
        <w:numPr>
          <w:ilvl w:val="0"/>
          <w:numId w:val="1"/>
        </w:numPr>
        <w:spacing w:after="45" w:line="228"/>
      </w:pPr>
      <w:r>
        <w:rPr>
          <w:b/>
          <w:bCs/>
          <w:color w:val="1E1330"/>
          <w:sz w:val="19"/>
          <w:szCs w:val="19"/>
        </w:rPr>
        <w:t xml:space="preserve">1. Increase holiday-season safety stock by 20–30% above the point forecast, </w:t>
      </w:r>
      <w:r>
        <w:rPr>
          <w:sz w:val="19"/>
          <w:szCs w:val="19"/>
        </w:rPr>
        <w:t xml:space="preserve">particularly for Furniture and East-region inventory, since the November forecast underestimated actual demand this cycle and both segments are showing above-average forecast growth.</w:t>
      </w:r>
    </w:p>
    <w:p>
      <w:pPr>
        <w:pStyle w:val="ListParagraph"/>
        <w:numPr>
          <w:ilvl w:val="0"/>
          <w:numId w:val="1"/>
        </w:numPr>
        <w:spacing w:after="45" w:line="228"/>
      </w:pPr>
      <w:r>
        <w:rPr>
          <w:b/>
          <w:bCs/>
          <w:color w:val="1E1330"/>
          <w:sz w:val="19"/>
          <w:szCs w:val="19"/>
        </w:rPr>
        <w:t xml:space="preserve">2. Move Copiers and Machines to individualized inventory plans </w:t>
      </w:r>
      <w:r>
        <w:rPr>
          <w:sz w:val="19"/>
          <w:szCs w:val="19"/>
        </w:rPr>
        <w:t xml:space="preserve">rather than a shared Technology-category policy — Copiers' explosive growth (+480%) risks stockouts under a standard reorder policy, while Machines' decline (−25%) risks tying up capital in slow-moving stock.</w:t>
      </w:r>
    </w:p>
    <w:p>
      <w:pPr>
        <w:pStyle w:val="ListParagraph"/>
        <w:numPr>
          <w:ilvl w:val="0"/>
          <w:numId w:val="1"/>
        </w:numPr>
        <w:spacing w:after="45" w:line="228"/>
      </w:pPr>
      <w:r>
        <w:rPr>
          <w:b/>
          <w:bCs/>
          <w:color w:val="1E1330"/>
          <w:sz w:val="19"/>
          <w:szCs w:val="19"/>
        </w:rPr>
        <w:t xml:space="preserve">3. Adopt the weighted ensemble as the production forecasting model </w:t>
      </w:r>
      <w:r>
        <w:rPr>
          <w:sz w:val="19"/>
          <w:szCs w:val="19"/>
        </w:rPr>
        <w:t xml:space="preserve">and re-evaluate monthly as new data arrives — it now beats every individual model tested (SARIMA, Prophet, XGBoost) on MAE, RMSE, and MAPE, at the modest cost of running three models instead of one.</w:t>
      </w:r>
    </w:p>
    <w:p>
      <w:pPr>
        <w:pStyle w:val="Heading1"/>
        <w:spacing w:after="35" w:before="90"/>
      </w:pPr>
      <w:r>
        <w:rPr>
          <w:b/>
          <w:bCs/>
          <w:color w:val="7C3AED"/>
        </w:rPr>
        <w:t xml:space="preserve">Risk &amp; Limitation</w:t>
      </w:r>
    </w:p>
    <w:p>
      <w:pPr>
        <w:spacing w:after="65" w:line="240"/>
      </w:pPr>
      <w:r>
        <w:rPr>
          <w:sz w:val="19"/>
          <w:szCs w:val="19"/>
        </w:rPr>
        <w:t xml:space="preserve">This system was validated on only 45 months of training history and a single 3-month holdout window, so its accuracy claims reflect one test period, not a long-run average — forecasts around unprecedented events (new product launches, supply shocks, a pandemic-scale demand shift) will be substantially less reliable than the holiday-season accuracy shown here. The inventory cost simulator is a directional decision-support tool, not a precise financial model — it approximates unit costs using dollar sales as a proxy. We recommend re-validating all of these models every quarter as new actual results come in.</w:t>
      </w:r>
    </w:p>
    <w:p>
      <w:pPr>
        <w:pBdr>
          <w:top w:val="single" w:color="D1D5DB" w:sz="6"/>
        </w:pBdr>
        <w:spacing w:before="80"/>
      </w:pPr>
      <w:r>
        <w:rPr>
          <w:i/>
          <w:iCs/>
          <w:color w:val="6B7280"/>
          <w:sz w:val="18"/>
          <w:szCs w:val="18"/>
        </w:rPr>
        <w:t xml:space="preserve">Prepared by Anish Reddy · Data Science Intern · Week 3–4 Internship Deliverable</w:t>
      </w:r>
    </w:p>
    <w:sectPr>
      <w:pgSz w:w="12240" w:h="15840" w:orient="portrait"/>
      <w:pgMar w:top="550" w:right="550" w:bottom="550" w:left="5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2026-07-03T13:02:16.423Z</dcterms:created>
  <dcterms:modified xsi:type="dcterms:W3CDTF">2026-07-03T13:02:16.424Z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