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Sentinel Website Current Status</w:t>
      </w:r>
    </w:p>
    <w:p>
      <w:r>
        <w:rPr>
          <w:b/>
          <w:color w:val="2D6849"/>
          <w:sz w:val="26"/>
        </w:rPr>
        <w:t>Implementation summary for independent functionality review</w:t>
      </w:r>
    </w:p>
    <w:p>
      <w:r>
        <w:rPr>
          <w:i/>
        </w:rPr>
        <w:t>Prepared 12 September 2026  |  Website scope only</w:t>
      </w:r>
    </w:p>
    <w:p>
      <w:pPr>
        <w:pStyle w:val="Heading1"/>
      </w:pPr>
      <w:r>
        <w:t>Purpose and bottom line</w:t>
      </w:r>
    </w:p>
    <w:p>
      <w:r>
        <w:t>This document lists what is currently implemented in the Sentinel website, what has been tested, and what still needs work. It is intended to be shared with Claude for an independent product and functionality review.</w:t>
      </w:r>
    </w:p>
    <w:p>
      <w:r>
        <w:t>The website is a consent-based digital safety co-pilot. A visitor can analyze text, URLs, and screenshots; understand the patterns detected; see possible consequences and safer next steps; and preserve an incident in private cloud storage after signing in. It is not a covert monitoring system and it does not claim to inspect every other app.</w:t>
      </w:r>
    </w:p>
    <w:p>
      <w:pPr>
        <w:spacing w:after="80"/>
      </w:pPr>
      <w:r>
        <w:rPr>
          <w:b/>
          <w:color w:val="9A6A19"/>
        </w:rPr>
        <w:t xml:space="preserve">Current state:  </w:t>
      </w:r>
      <w:r>
        <w:t>The core website is deployed, builds successfully, and the production health endpoint reports the database, storage, and Gemini as ready.</w:t>
      </w:r>
    </w:p>
    <w:p>
      <w:pPr>
        <w:pStyle w:val="Heading1"/>
      </w:pPr>
      <w:r>
        <w:t>Deployment and project references</w:t>
      </w:r>
    </w:p>
    <w:tbl>
      <w:tblPr>
        <w:tblW w:type="auto" w:w="0"/>
        <w:jc w:val="center"/>
        <w:tblLook w:firstColumn="1" w:firstRow="1" w:lastColumn="0" w:lastRow="0" w:noHBand="0" w:noVBand="1" w:val="04A0"/>
      </w:tblPr>
      <w:tblGrid>
        <w:gridCol w:w="5083"/>
        <w:gridCol w:w="5083"/>
      </w:tblGrid>
      <w:tr>
        <w:tc>
          <w:tcPr>
            <w:tcW w:type="dxa" w:w="2232"/>
            <w:vAlign w:val="center"/>
            <w:shd w:fill="1F4E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color w:val="FFFFFF"/>
                <w:sz w:val="17"/>
              </w:rPr>
              <w:t>Reference</w:t>
            </w:r>
          </w:p>
        </w:tc>
        <w:tc>
          <w:tcPr>
            <w:tcW w:type="dxa" w:w="8136"/>
            <w:vAlign w:val="center"/>
            <w:shd w:fill="1F4E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color w:val="FFFFFF"/>
                <w:sz w:val="17"/>
              </w:rPr>
              <w:t>Current value</w:t>
            </w:r>
          </w:p>
        </w:tc>
      </w:tr>
      <w:tr>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Public website</w:t>
            </w:r>
          </w:p>
        </w:tc>
        <w:tc>
          <w:tcPr>
            <w:tcW w:type="dxa" w:w="81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https://sentinel-anishas-projects-5fdf9d3f.vercel.app</w:t>
            </w:r>
          </w:p>
        </w:tc>
      </w:tr>
      <w:tr>
        <w:tc>
          <w:tcPr>
            <w:tcW w:type="dxa" w:w="2232"/>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Local website</w:t>
            </w:r>
          </w:p>
        </w:tc>
        <w:tc>
          <w:tcPr>
            <w:tcW w:type="dxa" w:w="8136"/>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http://127.0.0.1:5175/</w:t>
            </w:r>
          </w:p>
        </w:tc>
      </w:tr>
      <w:tr>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Health endpoint</w:t>
            </w:r>
          </w:p>
        </w:tc>
        <w:tc>
          <w:tcPr>
            <w:tcW w:type="dxa" w:w="81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https://sentinel-anishas-projects-5fdf9d3f.vercel.app/api/health</w:t>
            </w:r>
          </w:p>
        </w:tc>
      </w:tr>
      <w:tr>
        <w:tc>
          <w:tcPr>
            <w:tcW w:type="dxa" w:w="2232"/>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Health result</w:t>
            </w:r>
          </w:p>
        </w:tc>
        <w:tc>
          <w:tcPr>
            <w:tcW w:type="dxa" w:w="8136"/>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database: ready | storage: ready | ai: ready</w:t>
            </w:r>
          </w:p>
        </w:tc>
      </w:tr>
      <w:tr>
        <w:tc>
          <w:tcPr>
            <w:tcW w:type="dxa" w:w="22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Legacy public alias</w:t>
            </w:r>
          </w:p>
        </w:tc>
        <w:tc>
          <w:tcPr>
            <w:tcW w:type="dxa" w:w="81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https://hack-two-beta.vercel.app</w:t>
            </w:r>
          </w:p>
        </w:tc>
      </w:tr>
      <w:tr>
        <w:tc>
          <w:tcPr>
            <w:tcW w:type="dxa" w:w="2232"/>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Scope</w:t>
            </w:r>
          </w:p>
        </w:tc>
        <w:tc>
          <w:tcPr>
            <w:tcW w:type="dxa" w:w="8136"/>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Website only; browser extension and mobile app are separate future work</w:t>
            </w:r>
          </w:p>
        </w:tc>
      </w:tr>
    </w:tbl>
    <w:p>
      <w:pPr>
        <w:spacing w:after="40"/>
      </w:pPr>
    </w:p>
    <w:p>
      <w:pPr>
        <w:pStyle w:val="Heading1"/>
      </w:pPr>
      <w:r>
        <w:t>1. Current product experience</w:t>
      </w:r>
    </w:p>
    <w:p>
      <w:r>
        <w:t>The website is organized as a private safety workspace. A visitor can analyze content anonymously. Authentication is required when the user wants to keep cloud incidents and screenshots attached to their account.</w:t>
      </w:r>
    </w:p>
    <w:tbl>
      <w:tblPr>
        <w:tblW w:type="auto" w:w="0"/>
        <w:jc w:val="center"/>
        <w:tblLook w:firstColumn="1" w:firstRow="1" w:lastColumn="0" w:lastRow="0" w:noHBand="0" w:noVBand="1" w:val="04A0"/>
      </w:tblPr>
      <w:tblGrid>
        <w:gridCol w:w="5083"/>
        <w:gridCol w:w="5083"/>
      </w:tblGrid>
      <w:tr>
        <w:tc>
          <w:tcPr>
            <w:tcW w:type="dxa" w:w="2088"/>
            <w:vAlign w:val="center"/>
            <w:shd w:fill="1F4E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color w:val="FFFFFF"/>
                <w:sz w:val="17"/>
              </w:rPr>
              <w:t>Area</w:t>
            </w:r>
          </w:p>
        </w:tc>
        <w:tc>
          <w:tcPr>
            <w:tcW w:type="dxa" w:w="8280"/>
            <w:vAlign w:val="center"/>
            <w:shd w:fill="1F4E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color w:val="FFFFFF"/>
                <w:sz w:val="17"/>
              </w:rPr>
              <w:t>What is available now</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Landing page</w:t>
            </w:r>
          </w:p>
        </w:tc>
        <w:tc>
          <w:tcPr>
            <w:tcW w:type="dxa" w:w="82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Human-oriented introduction, problem framing, how Sentinel works, Risk DNA explanation, threat categories, Evidence + Support section, privacy message, and final call to action.</w:t>
            </w:r>
          </w:p>
        </w:tc>
      </w:tr>
      <w:tr>
        <w:tc>
          <w:tcPr>
            <w:tcW w:type="dxa" w:w="208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Analyze</w:t>
            </w:r>
          </w:p>
        </w:tc>
        <w:tc>
          <w:tcPr>
            <w:tcW w:type="dxa" w:w="828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Message/text input, URL input, screenshot upload with preview, drag and drop, demo scenarios, validation, loading state, error state, and privacy copy.</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Analysis result</w:t>
            </w:r>
          </w:p>
        </w:tc>
        <w:tc>
          <w:tcPr>
            <w:tcW w:type="dxa" w:w="82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Summary, explanation, detected signals, trigger-phrase hints, consequence chain, recommended actions, submitted content, provider/mode label, save, report, support, simpler-language toggle, and disagreement feedback.</w:t>
            </w:r>
          </w:p>
        </w:tc>
      </w:tr>
      <w:tr>
        <w:tc>
          <w:tcPr>
            <w:tcW w:type="dxa" w:w="208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Evidence vault</w:t>
            </w:r>
          </w:p>
        </w:tc>
        <w:tc>
          <w:tcPr>
            <w:tcW w:type="dxa" w:w="828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Saved incident list, risk labels, evidence state, dates, individual incident links, and deletion controls.</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Incident details</w:t>
            </w:r>
          </w:p>
        </w:tc>
        <w:tc>
          <w:tcPr>
            <w:tcW w:type="dxa" w:w="82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Original submitted text or URL, preserved screenshot when present, integrity hash, detected signals, assessment, consequence chain, Risk DNA, recommended actions, download/print, report, and evidence deletion.</w:t>
            </w:r>
          </w:p>
        </w:tc>
      </w:tr>
      <w:tr>
        <w:tc>
          <w:tcPr>
            <w:tcW w:type="dxa" w:w="208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Support center</w:t>
            </w:r>
          </w:p>
        </w:tc>
        <w:tc>
          <w:tcPr>
            <w:tcW w:type="dxa" w:w="828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Situation-based safety plans, ready-to-copy support message, anonymous analysis link, reporting route, and a witness/bystander situation.</w:t>
            </w:r>
          </w:p>
        </w:tc>
      </w:tr>
      <w:tr>
        <w:tc>
          <w:tcPr>
            <w:tcW w:type="dxa" w:w="20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Settings</w:t>
            </w:r>
          </w:p>
        </w:tc>
        <w:tc>
          <w:tcPr>
            <w:tcW w:type="dxa" w:w="82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Pause/resume, granular analysis/evidence permissions, trusted-sharing consent toggle, and a local transparency log.</w:t>
            </w:r>
          </w:p>
        </w:tc>
      </w:tr>
      <w:tr>
        <w:tc>
          <w:tcPr>
            <w:tcW w:type="dxa" w:w="208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Authentication</w:t>
            </w:r>
          </w:p>
        </w:tc>
        <w:tc>
          <w:tcPr>
            <w:tcW w:type="dxa" w:w="828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Email/password plus Google and Discord OAuth. GitHub is removed from the website flow.</w:t>
            </w:r>
          </w:p>
        </w:tc>
      </w:tr>
    </w:tbl>
    <w:p>
      <w:pPr>
        <w:spacing w:after="40"/>
      </w:pPr>
    </w:p>
    <w:p>
      <w:pPr>
        <w:pStyle w:val="Heading1"/>
      </w:pPr>
      <w:r>
        <w:t>2. AI, fallback, and data behavior</w:t>
      </w:r>
    </w:p>
    <w:p>
      <w:pPr>
        <w:spacing w:after="80"/>
      </w:pPr>
      <w:r>
        <w:rPr>
          <w:b/>
          <w:color w:val="2D6849"/>
        </w:rPr>
        <w:t xml:space="preserve">Completed:  </w:t>
      </w:r>
      <w:r>
        <w:t>Live text, URL, and image requests are sent to the server. Gemini structured output is validated before it reaches the interface.</w:t>
      </w:r>
    </w:p>
    <w:p>
      <w:pPr>
        <w:spacing w:after="80"/>
      </w:pPr>
      <w:r>
        <w:rPr>
          <w:b/>
          <w:color w:val="2D6849"/>
        </w:rPr>
        <w:t xml:space="preserve">Completed:  </w:t>
      </w:r>
      <w:r>
        <w:t>If Gemini times out, returns an error, exceeds quota, or returns malformed output, the backend uses Sentinel local safety rules instead of returning an unusable result.</w:t>
      </w:r>
    </w:p>
    <w:p>
      <w:pPr>
        <w:spacing w:after="80"/>
      </w:pPr>
      <w:r>
        <w:rPr>
          <w:b/>
          <w:color w:val="2D6849"/>
        </w:rPr>
        <w:t xml:space="preserve">Completed:  </w:t>
      </w:r>
      <w:r>
        <w:t>Fallback results are clearly identified as “Demo analysis (live AI temporarily unavailable)” and are not presented as Gemini results.</w:t>
      </w:r>
    </w:p>
    <w:p>
      <w:pPr>
        <w:spacing w:after="80"/>
      </w:pPr>
      <w:r>
        <w:rPr>
          <w:b/>
          <w:color w:val="2D6849"/>
        </w:rPr>
        <w:t xml:space="preserve">Completed:  </w:t>
      </w:r>
      <w:r>
        <w:t>The health endpoint performs a real Gemini model availability check and separately checks the Supabase incidents table and evidence bucket.</w:t>
      </w:r>
    </w:p>
    <w:p>
      <w:pPr>
        <w:spacing w:after="80"/>
      </w:pPr>
      <w:r>
        <w:rPr>
          <w:b/>
          <w:color w:val="2D6849"/>
        </w:rPr>
        <w:t xml:space="preserve">Completed:  </w:t>
      </w:r>
      <w:r>
        <w:t>A saved incident stores analysis metadata and the original submitted text or URL. Uploaded screenshots are saved in the private Supabase storage bucket with a SHA-256 integrity hash.</w:t>
      </w:r>
    </w:p>
    <w:p>
      <w:pPr>
        <w:spacing w:after="80"/>
      </w:pPr>
      <w:r>
        <w:rPr>
          <w:b/>
          <w:color w:val="2D6849"/>
        </w:rPr>
        <w:t xml:space="preserve">Completed:  </w:t>
      </w:r>
      <w:r>
        <w:t>The public production smoke test confirmed Gemini analysis for English and Hindi text. A supplied screenshot was accepted by the image endpoint and returned a visual classification.</w:t>
      </w:r>
    </w:p>
    <w:p>
      <w:pPr>
        <w:pStyle w:val="Heading1"/>
      </w:pPr>
      <w:r>
        <w:t>3. Risk coverage matrix</w:t>
      </w:r>
    </w:p>
    <w:p>
      <w:r>
        <w:t>The local engine and Gemini instructions now cover the following additional categories. The local engine provides deterministic behavior when Gemini is unavailable; Gemini remains the richer live analysis path.</w:t>
      </w:r>
    </w:p>
    <w:tbl>
      <w:tblPr>
        <w:tblW w:type="auto" w:w="0"/>
        <w:jc w:val="center"/>
        <w:tblLook w:firstColumn="1" w:firstRow="1" w:lastColumn="0" w:lastRow="0" w:noHBand="0" w:noVBand="1" w:val="04A0"/>
      </w:tblPr>
      <w:tblGrid>
        <w:gridCol w:w="3389"/>
        <w:gridCol w:w="3389"/>
        <w:gridCol w:w="3389"/>
      </w:tblGrid>
      <w:tr>
        <w:tc>
          <w:tcPr>
            <w:tcW w:type="dxa" w:w="2448"/>
            <w:vAlign w:val="center"/>
            <w:shd w:fill="1F4E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color w:val="FFFFFF"/>
                <w:sz w:val="17"/>
              </w:rPr>
              <w:t>Category</w:t>
            </w:r>
          </w:p>
        </w:tc>
        <w:tc>
          <w:tcPr>
            <w:tcW w:type="dxa" w:w="3816"/>
            <w:vAlign w:val="center"/>
            <w:shd w:fill="1F4E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color w:val="FFFFFF"/>
                <w:sz w:val="17"/>
              </w:rPr>
              <w:t>Current coverage</w:t>
            </w:r>
          </w:p>
        </w:tc>
        <w:tc>
          <w:tcPr>
            <w:tcW w:type="dxa" w:w="4104"/>
            <w:vAlign w:val="center"/>
            <w:shd w:fill="1F4E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color w:val="FFFFFF"/>
                <w:sz w:val="17"/>
              </w:rPr>
              <w:t>User-facing treatment</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Platform-switch manipulation</w:t>
            </w:r>
          </w:p>
        </w:tc>
        <w:tc>
          <w:tcPr>
            <w:tcW w:type="dxa" w:w="38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Local rule and Gemini category guidance</w:t>
            </w:r>
          </w:p>
        </w:tc>
        <w:tc>
          <w:tcPr>
            <w:tcW w:type="dxa" w:w="41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Early-warning explanation and safer pause/review actions</w:t>
            </w:r>
          </w:p>
        </w:tc>
      </w:tr>
      <w:tr>
        <w:tc>
          <w:tcPr>
            <w:tcW w:type="dxa" w:w="244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Sextortion / image-based threat</w:t>
            </w:r>
          </w:p>
        </w:tc>
        <w:tc>
          <w:tcPr>
            <w:tcW w:type="dxa" w:w="3816"/>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Local rule and Gemini category guidance</w:t>
            </w:r>
          </w:p>
        </w:tc>
        <w:tc>
          <w:tcPr>
            <w:tcW w:type="dxa" w:w="4104"/>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Support-first language, no danger-score framing in live result, Childline link, reassurance</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Doxxing / personal-information exposure</w:t>
            </w:r>
          </w:p>
        </w:tc>
        <w:tc>
          <w:tcPr>
            <w:tcW w:type="dxa" w:w="38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Local rule and Gemini category guidance</w:t>
            </w:r>
          </w:p>
        </w:tc>
        <w:tc>
          <w:tcPr>
            <w:tcW w:type="dxa" w:w="41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Privacy and targeting signals with removal/reporting actions</w:t>
            </w:r>
          </w:p>
        </w:tc>
      </w:tr>
      <w:tr>
        <w:tc>
          <w:tcPr>
            <w:tcW w:type="dxa" w:w="244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Self-harm / suicide concern</w:t>
            </w:r>
          </w:p>
        </w:tc>
        <w:tc>
          <w:tcPr>
            <w:tcW w:type="dxa" w:w="3816"/>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Local rule and Gemini category guidance</w:t>
            </w:r>
          </w:p>
        </w:tc>
        <w:tc>
          <w:tcPr>
            <w:tcW w:type="dxa" w:w="4104"/>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Support-first language, no danger-score framing in live result, urgent support actions</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Dangerous challenge / peer pressure</w:t>
            </w:r>
          </w:p>
        </w:tc>
        <w:tc>
          <w:tcPr>
            <w:tcW w:type="dxa" w:w="38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Local rule and Gemini category guidance</w:t>
            </w:r>
          </w:p>
        </w:tc>
        <w:tc>
          <w:tcPr>
            <w:tcW w:type="dxa" w:w="41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Separate social-pressure explanation and safety plan</w:t>
            </w:r>
          </w:p>
        </w:tc>
      </w:tr>
      <w:tr>
        <w:tc>
          <w:tcPr>
            <w:tcW w:type="dxa" w:w="244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Gaming marketplace scam</w:t>
            </w:r>
          </w:p>
        </w:tc>
        <w:tc>
          <w:tcPr>
            <w:tcW w:type="dxa" w:w="3816"/>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Local rule and Gemini category guidance</w:t>
            </w:r>
          </w:p>
        </w:tc>
        <w:tc>
          <w:tcPr>
            <w:tcW w:type="dxa" w:w="4104"/>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Send-first trade, giveaway, payment, and code signals</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Game cheat / mod malware link</w:t>
            </w:r>
          </w:p>
        </w:tc>
        <w:tc>
          <w:tcPr>
            <w:tcW w:type="dxa" w:w="38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Local rule and Gemini category guidance</w:t>
            </w:r>
          </w:p>
        </w:tc>
        <w:tc>
          <w:tcPr>
            <w:tcW w:type="dxa" w:w="41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Download, login, security-bypass, and account-compromise guidance</w:t>
            </w:r>
          </w:p>
        </w:tc>
      </w:tr>
      <w:tr>
        <w:tc>
          <w:tcPr>
            <w:tcW w:type="dxa" w:w="244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Digital wellbeing / manipulative design</w:t>
            </w:r>
          </w:p>
        </w:tc>
        <w:tc>
          <w:tcPr>
            <w:tcW w:type="dxa" w:w="3816"/>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Local rule and Gemini category guidance</w:t>
            </w:r>
          </w:p>
        </w:tc>
        <w:tc>
          <w:tcPr>
            <w:tcW w:type="dxa" w:w="4104"/>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Informational explanation about streaks, loot boxes, and endless content</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Insufficient context</w:t>
            </w:r>
          </w:p>
        </w:tc>
        <w:tc>
          <w:tcPr>
            <w:tcW w:type="dxa" w:w="38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Gemini is instructed to use this state</w:t>
            </w:r>
          </w:p>
        </w:tc>
        <w:tc>
          <w:tcPr>
            <w:tcW w:type="dxa" w:w="41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Dedicated UI treatment and consistent local-engine state are still incomplete</w:t>
            </w:r>
          </w:p>
        </w:tc>
      </w:tr>
    </w:tbl>
    <w:p>
      <w:pPr>
        <w:spacing w:after="40"/>
      </w:pPr>
    </w:p>
    <w:p>
      <w:pPr>
        <w:pStyle w:val="Heading1"/>
      </w:pPr>
      <w:r>
        <w:t>4. Trust, safety, and support features</w:t>
      </w:r>
    </w:p>
    <w:tbl>
      <w:tblPr>
        <w:tblW w:type="auto" w:w="0"/>
        <w:jc w:val="center"/>
        <w:tblLook w:firstColumn="1" w:firstRow="1" w:lastColumn="0" w:lastRow="0" w:noHBand="0" w:noVBand="1" w:val="04A0"/>
      </w:tblPr>
      <w:tblGrid>
        <w:gridCol w:w="5083"/>
        <w:gridCol w:w="5083"/>
      </w:tblGrid>
      <w:tr>
        <w:tc>
          <w:tcPr>
            <w:tcW w:type="dxa" w:w="2448"/>
            <w:vAlign w:val="center"/>
            <w:shd w:fill="1F4E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color w:val="FFFFFF"/>
                <w:sz w:val="17"/>
              </w:rPr>
              <w:t>Feature</w:t>
            </w:r>
          </w:p>
        </w:tc>
        <w:tc>
          <w:tcPr>
            <w:tcW w:type="dxa" w:w="7920"/>
            <w:vAlign w:val="center"/>
            <w:shd w:fill="1F4E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color w:val="FFFFFF"/>
                <w:sz w:val="17"/>
              </w:rPr>
              <w:t>Status and behavior</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Consent controls</w:t>
            </w:r>
          </w:p>
        </w:tc>
        <w:tc>
          <w:tcPr>
            <w:tcW w:type="dxa" w:w="79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Pause Sentinel and independently allow or revoke text, URL, screenshot, evidence-preservation, and trusted-sharing permissions.</w:t>
            </w:r>
          </w:p>
        </w:tc>
      </w:tr>
      <w:tr>
        <w:tc>
          <w:tcPr>
            <w:tcW w:type="dxa" w:w="244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Transparency log</w:t>
            </w:r>
          </w:p>
        </w:tc>
        <w:tc>
          <w:tcPr>
            <w:tcW w:type="dxa" w:w="792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Local browser log records analysis requests/completions, permission changes, pause/resume, evidence saves/deletes, and false-positive feedback.</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Explainability</w:t>
            </w:r>
          </w:p>
        </w:tc>
        <w:tc>
          <w:tcPr>
            <w:tcW w:type="dxa" w:w="79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Detected signals include a small hint showing the matching word or nearby context when available.</w:t>
            </w:r>
          </w:p>
        </w:tc>
      </w:tr>
      <w:tr>
        <w:tc>
          <w:tcPr>
            <w:tcW w:type="dxa" w:w="244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False-positive feedback</w:t>
            </w:r>
          </w:p>
        </w:tc>
        <w:tc>
          <w:tcPr>
            <w:tcW w:type="dxa" w:w="792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“Was this actually risky? Tell us no” records disagreement locally for future reference.</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Simple language</w:t>
            </w:r>
          </w:p>
        </w:tc>
        <w:tc>
          <w:tcPr>
            <w:tcW w:type="dxa" w:w="79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Result page can switch to calmer, simpler explanation copy without changing the underlying analysis.</w:t>
            </w:r>
          </w:p>
        </w:tc>
      </w:tr>
      <w:tr>
        <w:tc>
          <w:tcPr>
            <w:tcW w:type="dxa" w:w="244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Helpline handoff</w:t>
            </w:r>
          </w:p>
        </w:tc>
        <w:tc>
          <w:tcPr>
            <w:tcW w:type="dxa" w:w="792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Support-first result includes a direct Childline 1098 link and a support-plan link.</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Re-traumatization reduction</w:t>
            </w:r>
          </w:p>
        </w:tc>
        <w:tc>
          <w:tcPr>
            <w:tcW w:type="dxa" w:w="79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Landing and evidence copy explains that a saved record can be shared with a trusted adult instead of repeating the story verbally.</w:t>
            </w:r>
          </w:p>
        </w:tc>
      </w:tr>
      <w:tr>
        <w:tc>
          <w:tcPr>
            <w:tcW w:type="dxa" w:w="244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Bystander support</w:t>
            </w:r>
          </w:p>
        </w:tc>
        <w:tc>
          <w:tcPr>
            <w:tcW w:type="dxa" w:w="792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Support center includes a plan for someone who witnessed harm happening to another person.</w:t>
            </w:r>
          </w:p>
        </w:tc>
      </w:tr>
    </w:tbl>
    <w:p>
      <w:pPr>
        <w:spacing w:after="40"/>
      </w:pPr>
    </w:p>
    <w:p>
      <w:pPr>
        <w:pStyle w:val="Heading1"/>
      </w:pPr>
      <w:r>
        <w:t>5. Verification completed</w:t>
      </w:r>
    </w:p>
    <w:tbl>
      <w:tblPr>
        <w:tblW w:type="auto" w:w="0"/>
        <w:jc w:val="center"/>
        <w:tblLook w:firstColumn="1" w:firstRow="1" w:lastColumn="0" w:lastRow="0" w:noHBand="0" w:noVBand="1" w:val="04A0"/>
      </w:tblPr>
      <w:tblGrid>
        <w:gridCol w:w="5083"/>
        <w:gridCol w:w="5083"/>
      </w:tblGrid>
      <w:tr>
        <w:tc>
          <w:tcPr>
            <w:tcW w:type="dxa" w:w="3240"/>
            <w:vAlign w:val="center"/>
            <w:shd w:fill="1F4E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color w:val="FFFFFF"/>
                <w:sz w:val="17"/>
              </w:rPr>
              <w:t>Check</w:t>
            </w:r>
          </w:p>
        </w:tc>
        <w:tc>
          <w:tcPr>
            <w:tcW w:type="dxa" w:w="7128"/>
            <w:vAlign w:val="center"/>
            <w:shd w:fill="1F4E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color w:val="FFFFFF"/>
                <w:sz w:val="17"/>
              </w:rPr>
              <w:t>Result</w:t>
            </w:r>
          </w:p>
        </w:tc>
      </w:tr>
      <w:tr>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TypeScript lint check</w:t>
            </w:r>
          </w:p>
        </w:tc>
        <w:tc>
          <w:tcPr>
            <w:tcW w:type="dxa" w:w="71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Passed: npm run lint</w:t>
            </w:r>
          </w:p>
        </w:tc>
      </w:tr>
      <w:tr>
        <w:tc>
          <w:tcPr>
            <w:tcW w:type="dxa" w:w="324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Risk-engine smoke tests</w:t>
            </w:r>
          </w:p>
        </w:tc>
        <w:tc>
          <w:tcPr>
            <w:tcW w:type="dxa" w:w="712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Passed: 3 tests covering phishing, sextortion support-first behavior, and screenshot submissions</w:t>
            </w:r>
          </w:p>
        </w:tc>
      </w:tr>
      <w:tr>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Client production build</w:t>
            </w:r>
          </w:p>
        </w:tc>
        <w:tc>
          <w:tcPr>
            <w:tcW w:type="dxa" w:w="71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Passed: npm run build</w:t>
            </w:r>
          </w:p>
        </w:tc>
      </w:tr>
      <w:tr>
        <w:tc>
          <w:tcPr>
            <w:tcW w:type="dxa" w:w="324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Server type check</w:t>
            </w:r>
          </w:p>
        </w:tc>
        <w:tc>
          <w:tcPr>
            <w:tcW w:type="dxa" w:w="712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Passed: npm run build:api</w:t>
            </w:r>
          </w:p>
        </w:tc>
      </w:tr>
      <w:tr>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Production health</w:t>
            </w:r>
          </w:p>
        </w:tc>
        <w:tc>
          <w:tcPr>
            <w:tcW w:type="dxa" w:w="71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Passed: database ready, storage ready, AI ready</w:t>
            </w:r>
          </w:p>
        </w:tc>
      </w:tr>
      <w:tr>
        <w:tc>
          <w:tcPr>
            <w:tcW w:type="dxa" w:w="324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English Gemini request</w:t>
            </w:r>
          </w:p>
        </w:tc>
        <w:tc>
          <w:tcPr>
            <w:tcW w:type="dxa" w:w="712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Passed: live Gemini response returned</w:t>
            </w:r>
          </w:p>
        </w:tc>
      </w:tr>
      <w:tr>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Hindi Gemini request</w:t>
            </w:r>
          </w:p>
        </w:tc>
        <w:tc>
          <w:tcPr>
            <w:tcW w:type="dxa" w:w="71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Passed: live Gemini response returned in Hindi</w:t>
            </w:r>
          </w:p>
        </w:tc>
      </w:tr>
      <w:tr>
        <w:tc>
          <w:tcPr>
            <w:tcW w:type="dxa" w:w="324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Screenshot upload</w:t>
            </w:r>
          </w:p>
        </w:tc>
        <w:tc>
          <w:tcPr>
            <w:tcW w:type="dxa" w:w="7128"/>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Passed: image endpoint accepted the supplied PNG and returned a classification</w:t>
            </w:r>
          </w:p>
        </w:tc>
      </w:tr>
      <w:tr>
        <w:tc>
          <w:tcPr>
            <w:tcW w:type="dxa" w:w="324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Public aliases</w:t>
            </w:r>
          </w:p>
        </w:tc>
        <w:tc>
          <w:tcPr>
            <w:tcW w:type="dxa" w:w="71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Passed: stable Sentinel URL and legacy alias both served the current deployment</w:t>
            </w:r>
          </w:p>
        </w:tc>
      </w:tr>
    </w:tbl>
    <w:p>
      <w:pPr>
        <w:spacing w:after="40"/>
      </w:pPr>
    </w:p>
    <w:p>
      <w:pPr>
        <w:pStyle w:val="Heading1"/>
      </w:pPr>
      <w:r>
        <w:t>6. Remaining gaps and partial work</w:t>
      </w:r>
    </w:p>
    <w:p>
      <w:r>
        <w:t>These items are not being described as complete. They are the highest-value areas for Claude to review next.</w:t>
      </w:r>
    </w:p>
    <w:tbl>
      <w:tblPr>
        <w:tblW w:type="auto" w:w="0"/>
        <w:jc w:val="center"/>
        <w:tblLook w:firstColumn="1" w:firstRow="1" w:lastColumn="0" w:lastRow="0" w:noHBand="0" w:noVBand="1" w:val="04A0"/>
      </w:tblPr>
      <w:tblGrid>
        <w:gridCol w:w="3389"/>
        <w:gridCol w:w="3389"/>
        <w:gridCol w:w="3389"/>
      </w:tblGrid>
      <w:tr>
        <w:tc>
          <w:tcPr>
            <w:tcW w:type="dxa" w:w="1944"/>
            <w:vAlign w:val="center"/>
            <w:shd w:fill="1F4E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color w:val="FFFFFF"/>
                <w:sz w:val="17"/>
              </w:rPr>
              <w:t>Area</w:t>
            </w:r>
          </w:p>
        </w:tc>
        <w:tc>
          <w:tcPr>
            <w:tcW w:type="dxa" w:w="4320"/>
            <w:vAlign w:val="center"/>
            <w:shd w:fill="1F4E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color w:val="FFFFFF"/>
                <w:sz w:val="17"/>
              </w:rPr>
              <w:t>Current limitation</w:t>
            </w:r>
          </w:p>
        </w:tc>
        <w:tc>
          <w:tcPr>
            <w:tcW w:type="dxa" w:w="4104"/>
            <w:vAlign w:val="center"/>
            <w:shd w:fill="1F4E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color w:val="FFFFFF"/>
                <w:sz w:val="17"/>
              </w:rPr>
              <w:t>Suggested review question</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Low-confidence handling</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Gemini is instructed to return “Insufficient context,” but the local engine and interface do not yet provide one consistent dedicated state for every category.</w:t>
            </w:r>
          </w:p>
        </w:tc>
        <w:tc>
          <w:tcPr>
            <w:tcW w:type="dxa" w:w="41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What should the user see when evidence is ambiguous?</w:t>
            </w:r>
          </w:p>
        </w:tc>
      </w:tr>
      <w:tr>
        <w:tc>
          <w:tcPr>
            <w:tcW w:type="dxa" w:w="1944"/>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Digital wellbeing</w:t>
            </w:r>
          </w:p>
        </w:tc>
        <w:tc>
          <w:tcPr>
            <w:tcW w:type="dxa" w:w="432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The category exists, but it still shares the normal result structure instead of a separate low-urgency wellbeing section.</w:t>
            </w:r>
          </w:p>
        </w:tc>
        <w:tc>
          <w:tcPr>
            <w:tcW w:type="dxa" w:w="4104"/>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How should wellbeing guidance be visually separated from danger alerts?</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Trusted adult escalation</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A trusted-sharing consent toggle exists, but actual high-severity notification and contact management are not wired.</w:t>
            </w:r>
          </w:p>
        </w:tc>
        <w:tc>
          <w:tcPr>
            <w:tcW w:type="dxa" w:w="41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What consent, contact verification, and notification safeguards are required?</w:t>
            </w:r>
          </w:p>
        </w:tc>
      </w:tr>
      <w:tr>
        <w:tc>
          <w:tcPr>
            <w:tcW w:type="dxa" w:w="1944"/>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Read-only shared view</w:t>
            </w:r>
          </w:p>
        </w:tc>
        <w:tc>
          <w:tcPr>
            <w:tcW w:type="dxa" w:w="432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There is no secure per-incident share link or counselor view yet.</w:t>
            </w:r>
          </w:p>
        </w:tc>
        <w:tc>
          <w:tcPr>
            <w:tcW w:type="dxa" w:w="4104"/>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What minimum fields should a shared view contain, and how should it expire?</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Interface i18n</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Gemini multilingual behavior is tested, but static UI text is still hard-coded in English and no standard i18n library is installed.</w:t>
            </w:r>
          </w:p>
        </w:tc>
        <w:tc>
          <w:tcPr>
            <w:tcW w:type="dxa" w:w="41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Which languages and translation ownership should be prioritized?</w:t>
            </w:r>
          </w:p>
        </w:tc>
      </w:tr>
      <w:tr>
        <w:tc>
          <w:tcPr>
            <w:tcW w:type="dxa" w:w="1944"/>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Data controls</w:t>
            </w:r>
          </w:p>
        </w:tc>
        <w:tc>
          <w:tcPr>
            <w:tcW w:type="dxa" w:w="432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Live delete-all, clear-history, and export controls are not fully wired. Individual incident/evidence deletion works.</w:t>
            </w:r>
          </w:p>
        </w:tc>
        <w:tc>
          <w:tcPr>
            <w:tcW w:type="dxa" w:w="4104"/>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What should export contain, and how should cloud evidence cleanup be handled safely?</w:t>
            </w:r>
          </w:p>
        </w:tc>
      </w:tr>
      <w:tr>
        <w:tc>
          <w:tcPr>
            <w:tcW w:type="dxa" w:w="19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Code structure</w:t>
            </w:r>
          </w:p>
        </w:tc>
        <w:tc>
          <w:tcPr>
            <w:tcW w:type="dxa" w:w="432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The main website remains concentrated in src/App.tsx and the CSS remains largely in one file.</w:t>
            </w:r>
          </w:p>
        </w:tc>
        <w:tc>
          <w:tcPr>
            <w:tcW w:type="dxa" w:w="41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Which route/component boundaries would improve maintainability without changing the UI?</w:t>
            </w:r>
          </w:p>
        </w:tc>
      </w:tr>
      <w:tr>
        <w:tc>
          <w:tcPr>
            <w:tcW w:type="dxa" w:w="1944"/>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Full acceptance flow</w:t>
            </w:r>
          </w:p>
        </w:tc>
        <w:tc>
          <w:tcPr>
            <w:tcW w:type="dxa" w:w="4320"/>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The public APIs and build are verified, but a signed-in analyze → save → refresh → incident-detail test needs a real authenticated browser session.</w:t>
            </w:r>
          </w:p>
        </w:tc>
        <w:tc>
          <w:tcPr>
            <w:tcW w:type="dxa" w:w="4104"/>
            <w:vAlign w:val="center"/>
            <w:shd w:fill="F5F8F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40" w:line="252" w:lineRule="auto"/>
            </w:pPr>
            <w:r/>
            <w:r>
              <w:rPr>
                <w:rFonts w:ascii="Aptos" w:hAnsi="Aptos"/>
                <w:b w:val="0"/>
                <w:color w:val="24352B"/>
                <w:sz w:val="17"/>
              </w:rPr>
              <w:t>Can the reviewer run the signed-in flow with a test account?</w:t>
            </w:r>
          </w:p>
        </w:tc>
      </w:tr>
    </w:tbl>
    <w:p>
      <w:pPr>
        <w:spacing w:after="40"/>
      </w:pPr>
    </w:p>
    <w:p>
      <w:pPr>
        <w:pStyle w:val="Heading1"/>
      </w:pPr>
      <w:r>
        <w:t>7. What makes Sentinel different</w:t>
      </w:r>
    </w:p>
    <w:p>
      <w:r>
        <w:t>The product is differentiated less by claiming universal surveillance and more by combining several user-controlled steps in one calm flow:</w:t>
      </w:r>
    </w:p>
    <w:p>
      <w:pPr>
        <w:pStyle w:val="ListBullet"/>
        <w:spacing w:after="60"/>
      </w:pPr>
      <w:r>
        <w:t>It explains the pattern behind a concern instead of presenting only a binary safe/danger label.</w:t>
      </w:r>
    </w:p>
    <w:p>
      <w:pPr>
        <w:pStyle w:val="ListBullet"/>
        <w:spacing w:after="60"/>
      </w:pPr>
      <w:r>
        <w:t>It connects signals to possible consequences and practical next actions.</w:t>
      </w:r>
    </w:p>
    <w:p>
      <w:pPr>
        <w:pStyle w:val="ListBullet"/>
        <w:spacing w:after="60"/>
      </w:pPr>
      <w:r>
        <w:t>It uses support-first language for self-harm and sextortion, where a cold score can increase fear.</w:t>
      </w:r>
    </w:p>
    <w:p>
      <w:pPr>
        <w:pStyle w:val="ListBullet"/>
        <w:spacing w:after="60"/>
      </w:pPr>
      <w:r>
        <w:t>It keeps analysis voluntary, makes permissions visible, and records user-facing actions in a transparency log.</w:t>
      </w:r>
    </w:p>
    <w:p>
      <w:pPr>
        <w:pStyle w:val="ListBullet"/>
        <w:spacing w:after="60"/>
      </w:pPr>
      <w:r>
        <w:t>It preserves context so a young person can share an incident record with a trusted adult rather than repeating a difficult disclosure several times.</w:t>
      </w:r>
    </w:p>
    <w:p>
      <w:pPr>
        <w:pStyle w:val="ListBullet"/>
        <w:spacing w:after="60"/>
      </w:pPr>
      <w:r>
        <w:t>It provides a website foundation that can later connect to a browser extension and platform-specific mobile workflows without pretending that one website can read every app.</w:t>
      </w:r>
    </w:p>
    <w:p>
      <w:pPr>
        <w:pStyle w:val="Heading1"/>
      </w:pPr>
      <w:r>
        <w:t>8. Recommended questions for Claude</w:t>
      </w:r>
    </w:p>
    <w:p>
      <w:pPr>
        <w:pStyle w:val="ListBullet"/>
        <w:spacing w:after="60"/>
      </w:pPr>
      <w:r>
        <w:t>Which current features are still too close to a demo or mock experience from a user’s perspective?</w:t>
      </w:r>
    </w:p>
    <w:p>
      <w:pPr>
        <w:pStyle w:val="ListBullet"/>
        <w:spacing w:after="60"/>
      </w:pPr>
      <w:r>
        <w:t>Where could the safety language accidentally sound like surveillance, diagnosis, legal proof, or a guarantee?</w:t>
      </w:r>
    </w:p>
    <w:p>
      <w:pPr>
        <w:pStyle w:val="ListBullet"/>
        <w:spacing w:after="60"/>
      </w:pPr>
      <w:r>
        <w:t>Is the support-first treatment for self-harm and sextortion calm and visible enough?</w:t>
      </w:r>
    </w:p>
    <w:p>
      <w:pPr>
        <w:pStyle w:val="ListBullet"/>
        <w:spacing w:after="60"/>
      </w:pPr>
      <w:r>
        <w:t>What should the first-time user understand before uploading a screenshot?</w:t>
      </w:r>
    </w:p>
    <w:p>
      <w:pPr>
        <w:pStyle w:val="ListBullet"/>
        <w:spacing w:after="60"/>
      </w:pPr>
      <w:r>
        <w:t>Which three missing features would most improve differentiation from ordinary scam or parental-control tools?</w:t>
      </w:r>
    </w:p>
    <w:p>
      <w:pPr>
        <w:pStyle w:val="ListBullet"/>
        <w:spacing w:after="60"/>
      </w:pPr>
      <w:r>
        <w:t>Does the live incident page show enough original context for a trusted adult to understand it without a repeated verbal explanation?</w:t>
      </w:r>
    </w:p>
    <w:p>
      <w:pPr>
        <w:pStyle w:val="ListBullet"/>
        <w:spacing w:after="60"/>
      </w:pPr>
      <w:r>
        <w:t>What should be tested on mobile widths and with keyboard-only navigation?</w:t>
      </w:r>
    </w:p>
    <w:p>
      <w:pPr>
        <w:pStyle w:val="Heading1"/>
      </w:pPr>
      <w:r>
        <w:t>Scope note</w:t>
      </w:r>
    </w:p>
    <w:p>
      <w:r>
        <w:t>This document covers the Sentinel website only. The browser extension and mobile app are separate products and are not represented as completed here. The website should continue to require explicit user action and permission; it should not claim to silently inspect Snapchat, Instagram, games, or other native apps.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66F"/>
        <w:sz w:val="16"/>
      </w:rPr>
      <w:t>Sentinel website status | Current implementation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5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Website Current Status</dc:title>
  <dc:subject>Current Sentinel website functionality and review gaps</dc:subject>
  <dc:creator>Sentinel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