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Fevicol Product Range</w:t>
      </w:r>
    </w:p>
    <w:p>
      <w:pPr>
        <w:spacing w:after="400"/>
      </w:pPr>
      <w:r>
        <w:rPr>
          <w:i/>
          <w:iCs/>
          <w:color w:val="666666"/>
        </w:rPr>
        <w:t xml:space="preserve">Website copy for Fevicol SH, Marine, HiPer, and Pro Bond</w:t>
      </w:r>
    </w:p>
    <w:p>
      <w:pPr>
        <w:pStyle w:val="Heading1"/>
        <w:spacing w:after="120" w:before="200"/>
      </w:pPr>
      <w:r>
        <w:t xml:space="preserve">Fevicol SH</w:t>
      </w:r>
    </w:p>
    <w:p>
      <w:pPr>
        <w:spacing w:after="60"/>
      </w:pPr>
      <w:r>
        <w:rPr>
          <w:b/>
          <w:bCs/>
          <w:sz w:val="26"/>
          <w:szCs w:val="26"/>
        </w:rPr>
        <w:t xml:space="preserve">The Trusted Standard for Wood-to-Wood Bonding</w:t>
      </w:r>
    </w:p>
    <w:p>
      <w:pPr>
        <w:spacing w:after="200"/>
      </w:pPr>
      <w:r>
        <w:rPr>
          <w:i/>
          <w:iCs/>
          <w:color w:val="C8102E"/>
          <w:sz w:val="24"/>
          <w:szCs w:val="24"/>
        </w:rPr>
        <w:t xml:space="preserve">India's No.1 carpentry adhesive — strong, reliable, everywhere.</w:t>
      </w:r>
    </w:p>
    <w:p>
      <w:pPr>
        <w:pStyle w:val="Heading2"/>
        <w:spacing w:after="100" w:before="260"/>
      </w:pPr>
      <w:r>
        <w:t xml:space="preserve">Overview</w:t>
      </w:r>
    </w:p>
    <w:p>
      <w:pPr>
        <w:spacing w:after="140"/>
      </w:pPr>
      <w:r>
        <w:t xml:space="preserve">Fevicol SH is the adhesive that built India's carpentry industry. A premium-grade, polyvinyl acetate (PVA) based synthetic resin adhesive, it delivers a milky-white, ready-to-use emulsion that carpenters and furniture makers have trusted for generations. When you need a strong, dependable bond between wood and wood-based materials for everyday interior work, Fevicol SH is the adhesive that never lets you down.</w:t>
      </w:r>
    </w:p>
    <w:p>
      <w:pPr>
        <w:spacing w:after="140"/>
      </w:pPr>
      <w:r>
        <w:t xml:space="preserve">Formulated for consistency and ease of use, Fevicol SH spreads smoothly, grips fast, and cures into a joint that's stronger than the wood around it. It's solvent-free, non-flammable, and free of any offensive odour — safe to use across the workshop, all day, every day.</w:t>
      </w:r>
    </w:p>
    <w:p>
      <w:pPr>
        <w:pStyle w:val="Heading2"/>
        <w:spacing w:after="100" w:before="260"/>
      </w:pPr>
      <w:r>
        <w:t xml:space="preserve">Key Features</w:t>
      </w:r>
    </w:p>
    <w:p>
      <w:pPr>
        <w:pStyle w:val="ListParagraph"/>
        <w:numPr>
          <w:ilvl w:val="0"/>
          <w:numId w:val="2"/>
        </w:numPr>
        <w:spacing w:after="60"/>
      </w:pPr>
      <w:r>
        <w:t xml:space="preserve">High bond strength — joints that outlast the furniture</w:t>
      </w:r>
    </w:p>
    <w:p>
      <w:pPr>
        <w:pStyle w:val="ListParagraph"/>
        <w:numPr>
          <w:ilvl w:val="0"/>
          <w:numId w:val="2"/>
        </w:numPr>
        <w:spacing w:after="60"/>
      </w:pPr>
      <w:r>
        <w:t xml:space="preserve">Fast handling strength: surfaces can be unclamped in 2–3 hours; full cure develops over 24 hours</w:t>
      </w:r>
    </w:p>
    <w:p>
      <w:pPr>
        <w:pStyle w:val="ListParagraph"/>
        <w:numPr>
          <w:ilvl w:val="0"/>
          <w:numId w:val="2"/>
        </w:numPr>
        <w:spacing w:after="60"/>
      </w:pPr>
      <w:r>
        <w:t xml:space="preserve">Smooth, easy application with brush or spatula — no mixing, no fuss</w:t>
      </w:r>
    </w:p>
    <w:p>
      <w:pPr>
        <w:pStyle w:val="ListParagraph"/>
        <w:numPr>
          <w:ilvl w:val="0"/>
          <w:numId w:val="2"/>
        </w:numPr>
        <w:spacing w:after="60"/>
      </w:pPr>
      <w:r>
        <w:t xml:space="preserve">Water-resistant (MR grade) for everyday indoor durability</w:t>
      </w:r>
    </w:p>
    <w:p>
      <w:pPr>
        <w:pStyle w:val="ListParagraph"/>
        <w:numPr>
          <w:ilvl w:val="0"/>
          <w:numId w:val="2"/>
        </w:numPr>
        <w:spacing w:after="60"/>
      </w:pPr>
      <w:r>
        <w:t xml:space="preserve">Solvent-free, non-flammable, and virtually odour-free</w:t>
      </w:r>
    </w:p>
    <w:p>
      <w:pPr>
        <w:pStyle w:val="ListParagraph"/>
        <w:numPr>
          <w:ilvl w:val="0"/>
          <w:numId w:val="2"/>
        </w:numPr>
        <w:spacing w:after="60"/>
      </w:pPr>
      <w:r>
        <w:t xml:space="preserve">Consistent milky-white emulsion, viscosity 200–300 Poise, for predictable spreading and grab</w:t>
      </w:r>
    </w:p>
    <w:p>
      <w:pPr>
        <w:pStyle w:val="Heading2"/>
        <w:spacing w:after="100" w:before="260"/>
      </w:pPr>
      <w:r>
        <w:t xml:space="preserve">Applications &amp; Uses</w:t>
      </w:r>
    </w:p>
    <w:p>
      <w:pPr>
        <w:pStyle w:val="ListParagraph"/>
        <w:numPr>
          <w:ilvl w:val="0"/>
          <w:numId w:val="2"/>
        </w:numPr>
        <w:spacing w:after="60"/>
      </w:pPr>
      <w:r>
        <w:t xml:space="preserve">Carpentry and furniture-making — chairs, tables, cabinets, wardrobes, beds</w:t>
      </w:r>
    </w:p>
    <w:p>
      <w:pPr>
        <w:pStyle w:val="ListParagraph"/>
        <w:numPr>
          <w:ilvl w:val="0"/>
          <w:numId w:val="2"/>
        </w:numPr>
        <w:spacing w:after="60"/>
      </w:pPr>
      <w:r>
        <w:t xml:space="preserve">Bonding plywood, MDF, particle board, and hardboard to each other</w:t>
      </w:r>
    </w:p>
    <w:p>
      <w:pPr>
        <w:pStyle w:val="ListParagraph"/>
        <w:numPr>
          <w:ilvl w:val="0"/>
          <w:numId w:val="2"/>
        </w:numPr>
        <w:spacing w:after="60"/>
      </w:pPr>
      <w:r>
        <w:t xml:space="preserve">Laminate and veneer pasting onto wood-based panels</w:t>
      </w:r>
    </w:p>
    <w:p>
      <w:pPr>
        <w:pStyle w:val="ListParagraph"/>
        <w:numPr>
          <w:ilvl w:val="0"/>
          <w:numId w:val="2"/>
        </w:numPr>
        <w:spacing w:after="60"/>
      </w:pPr>
      <w:r>
        <w:t xml:space="preserve">General joinery and repair work in interior, dry environments</w:t>
      </w:r>
    </w:p>
    <w:p>
      <w:pPr>
        <w:pStyle w:val="ListParagraph"/>
        <w:numPr>
          <w:ilvl w:val="0"/>
          <w:numId w:val="2"/>
        </w:numPr>
        <w:spacing w:after="60"/>
      </w:pPr>
      <w:r>
        <w:t xml:space="preserve">Wood- and paper-based handicrafts and craft projects</w:t>
      </w:r>
    </w:p>
    <w:p>
      <w:pPr>
        <w:pStyle w:val="Heading2"/>
        <w:spacing w:after="100" w:before="260"/>
      </w:pPr>
      <w:r>
        <w:t xml:space="preserve">How to Apply</w:t>
      </w:r>
    </w:p>
    <w:p>
      <w:pPr>
        <w:pStyle w:val="ListParagraph"/>
        <w:numPr>
          <w:ilvl w:val="0"/>
          <w:numId w:val="3"/>
        </w:numPr>
        <w:spacing w:after="60"/>
      </w:pPr>
      <w:r>
        <w:t xml:space="preserve">Prepare: Ensure both surfaces are clean, dry, and free of dust, grease, or old adhesive residue.</w:t>
      </w:r>
    </w:p>
    <w:p>
      <w:pPr>
        <w:pStyle w:val="ListParagraph"/>
        <w:numPr>
          <w:ilvl w:val="0"/>
          <w:numId w:val="3"/>
        </w:numPr>
        <w:spacing w:after="60"/>
      </w:pPr>
      <w:r>
        <w:t xml:space="preserve">Apply: Spread a thin, even layer of Fevicol SH on one or both surfaces using a brush or spatula.</w:t>
      </w:r>
    </w:p>
    <w:p>
      <w:pPr>
        <w:pStyle w:val="ListParagraph"/>
        <w:numPr>
          <w:ilvl w:val="0"/>
          <w:numId w:val="3"/>
        </w:numPr>
        <w:spacing w:after="60"/>
      </w:pPr>
      <w:r>
        <w:t xml:space="preserve">Join: Press the surfaces firmly together, aligning them accurately before the adhesive begins to grab.</w:t>
      </w:r>
    </w:p>
    <w:p>
      <w:pPr>
        <w:pStyle w:val="ListParagraph"/>
        <w:numPr>
          <w:ilvl w:val="0"/>
          <w:numId w:val="3"/>
        </w:numPr>
        <w:spacing w:after="60"/>
      </w:pPr>
      <w:r>
        <w:t xml:space="preserve">Clamp: Hold under even pressure for 2–3 hours minimum; leave undisturbed for 24 hours for maximum bond strength.</w:t>
      </w:r>
    </w:p>
    <w:p>
      <w:pPr>
        <w:pStyle w:val="ListParagraph"/>
        <w:numPr>
          <w:ilvl w:val="0"/>
          <w:numId w:val="3"/>
        </w:numPr>
        <w:spacing w:after="60"/>
      </w:pPr>
      <w:r>
        <w:t xml:space="preserve">Clean: Wipe away any excess adhesive with a damp cloth before it dries.</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Appearance</w:t>
            </w:r>
          </w:p>
        </w:tc>
        <w:tc>
          <w:tcPr>
            <w:tcW w:type="dxa" w:w="6000"/>
          </w:tcPr>
          <w:p>
            <w:r>
              <w:rPr>
                <w:b w:val="false"/>
                <w:bCs w:val="false"/>
              </w:rPr>
              <w:t xml:space="preserve">Milky white emulsion</w:t>
            </w:r>
          </w:p>
        </w:tc>
      </w:tr>
      <w:tr>
        <w:tc>
          <w:tcPr>
            <w:tcW w:type="dxa" w:w="3000"/>
            <w:shd w:fill="F2E5E7" w:val="clear"/>
          </w:tcPr>
          <w:p>
            <w:r>
              <w:rPr>
                <w:b/>
                <w:bCs/>
              </w:rPr>
              <w:t xml:space="preserve">Viscosity (30°C)</w:t>
            </w:r>
          </w:p>
        </w:tc>
        <w:tc>
          <w:tcPr>
            <w:tcW w:type="dxa" w:w="6000"/>
          </w:tcPr>
          <w:p>
            <w:r>
              <w:rPr>
                <w:b w:val="false"/>
                <w:bCs w:val="false"/>
              </w:rPr>
              <w:t xml:space="preserve">200–300 Poise</w:t>
            </w:r>
          </w:p>
        </w:tc>
      </w:tr>
      <w:tr>
        <w:tc>
          <w:tcPr>
            <w:tcW w:type="dxa" w:w="3000"/>
            <w:shd w:fill="F2E5E7" w:val="clear"/>
          </w:tcPr>
          <w:p>
            <w:r>
              <w:rPr>
                <w:b/>
                <w:bCs/>
              </w:rPr>
              <w:t xml:space="preserve">pH</w:t>
            </w:r>
          </w:p>
        </w:tc>
        <w:tc>
          <w:tcPr>
            <w:tcW w:type="dxa" w:w="6000"/>
          </w:tcPr>
          <w:p>
            <w:r>
              <w:rPr>
                <w:b w:val="false"/>
                <w:bCs w:val="false"/>
              </w:rPr>
              <w:t xml:space="preserve">4–6</w:t>
            </w:r>
          </w:p>
        </w:tc>
      </w:tr>
      <w:tr>
        <w:tc>
          <w:tcPr>
            <w:tcW w:type="dxa" w:w="3000"/>
            <w:shd w:fill="F2E5E7" w:val="clear"/>
          </w:tcPr>
          <w:p>
            <w:r>
              <w:rPr>
                <w:b/>
                <w:bCs/>
              </w:rPr>
              <w:t xml:space="preserve">Density (30°C)</w:t>
            </w:r>
          </w:p>
        </w:tc>
        <w:tc>
          <w:tcPr>
            <w:tcW w:type="dxa" w:w="6000"/>
          </w:tcPr>
          <w:p>
            <w:r>
              <w:rPr>
                <w:b w:val="false"/>
                <w:bCs w:val="false"/>
              </w:rPr>
              <w:t xml:space="preserve">1.04–1.08 g/ml</w:t>
            </w:r>
          </w:p>
        </w:tc>
      </w:tr>
      <w:tr>
        <w:tc>
          <w:tcPr>
            <w:tcW w:type="dxa" w:w="3000"/>
            <w:shd w:fill="F2E5E7" w:val="clear"/>
          </w:tcPr>
          <w:p>
            <w:r>
              <w:rPr>
                <w:b/>
                <w:bCs/>
              </w:rPr>
              <w:t xml:space="preserve">Coverage</w:t>
            </w:r>
          </w:p>
        </w:tc>
        <w:tc>
          <w:tcPr>
            <w:tcW w:type="dxa" w:w="6000"/>
          </w:tcPr>
          <w:p>
            <w:r>
              <w:rPr>
                <w:b w:val="false"/>
                <w:bCs w:val="false"/>
              </w:rPr>
              <w:t xml:space="preserve">Approx. 45–50 sq. ft. per kg (at ~150 g/m²)</w:t>
            </w:r>
          </w:p>
        </w:tc>
      </w:tr>
      <w:tr>
        <w:tc>
          <w:tcPr>
            <w:tcW w:type="dxa" w:w="3000"/>
            <w:shd w:fill="F2E5E7" w:val="clear"/>
          </w:tcPr>
          <w:p>
            <w:r>
              <w:rPr>
                <w:b/>
                <w:bCs/>
              </w:rPr>
              <w:t xml:space="preserve">Handling time</w:t>
            </w:r>
          </w:p>
        </w:tc>
        <w:tc>
          <w:tcPr>
            <w:tcW w:type="dxa" w:w="6000"/>
          </w:tcPr>
          <w:p>
            <w:r>
              <w:rPr>
                <w:b w:val="false"/>
                <w:bCs w:val="false"/>
              </w:rPr>
              <w:t xml:space="preserve">2–3 hours under pressure</w:t>
            </w:r>
          </w:p>
        </w:tc>
      </w:tr>
      <w:tr>
        <w:tc>
          <w:tcPr>
            <w:tcW w:type="dxa" w:w="3000"/>
            <w:shd w:fill="F2E5E7" w:val="clear"/>
          </w:tcPr>
          <w:p>
            <w:r>
              <w:rPr>
                <w:b/>
                <w:bCs/>
              </w:rPr>
              <w:t xml:space="preserve">Full cure</w:t>
            </w:r>
          </w:p>
        </w:tc>
        <w:tc>
          <w:tcPr>
            <w:tcW w:type="dxa" w:w="6000"/>
          </w:tcPr>
          <w:p>
            <w:r>
              <w:rPr>
                <w:b w:val="false"/>
                <w:bCs w:val="false"/>
              </w:rPr>
              <w:t xml:space="preserve">24 hours</w:t>
            </w:r>
          </w:p>
        </w:tc>
      </w:tr>
      <w:tr>
        <w:tc>
          <w:tcPr>
            <w:tcW w:type="dxa" w:w="3000"/>
            <w:shd w:fill="F2E5E7" w:val="clear"/>
          </w:tcPr>
          <w:p>
            <w:r>
              <w:rPr>
                <w:b/>
                <w:bCs/>
              </w:rPr>
              <w:t xml:space="preserve">Water resistance</w:t>
            </w:r>
          </w:p>
        </w:tc>
        <w:tc>
          <w:tcPr>
            <w:tcW w:type="dxa" w:w="6000"/>
          </w:tcPr>
          <w:p>
            <w:r>
              <w:rPr>
                <w:b w:val="false"/>
                <w:bCs w:val="false"/>
              </w:rPr>
              <w:t xml:space="preserve">MR (Moisture Resistant) grade — for dry, interior use</w:t>
            </w:r>
          </w:p>
        </w:tc>
      </w:tr>
      <w:tr>
        <w:tc>
          <w:tcPr>
            <w:tcW w:type="dxa" w:w="3000"/>
            <w:shd w:fill="F2E5E7" w:val="clear"/>
          </w:tcPr>
          <w:p>
            <w:r>
              <w:rPr>
                <w:b/>
                <w:bCs/>
              </w:rPr>
              <w:t xml:space="preserve">Pack sizes</w:t>
            </w:r>
          </w:p>
        </w:tc>
        <w:tc>
          <w:tcPr>
            <w:tcW w:type="dxa" w:w="6000"/>
          </w:tcPr>
          <w:p>
            <w:r>
              <w:rPr>
                <w:b w:val="false"/>
                <w:bCs w:val="false"/>
              </w:rPr>
              <w:t xml:space="preserve">50 g, 125 g, 250 g, 500 g, 1 kg, 2 kg, 5 kg, 10 kg, 20 kg, 30 kg, 50 kg</w:t>
            </w:r>
          </w:p>
        </w:tc>
      </w:tr>
    </w:tbl>
    <w:p>
      <w:pPr>
        <w:pStyle w:val="Heading2"/>
        <w:spacing w:after="100" w:before="260"/>
      </w:pPr>
      <w:r>
        <w:t xml:space="preserve">Frequently Asked Questions</w:t>
      </w:r>
    </w:p>
    <w:p>
      <w:pPr>
        <w:spacing w:after="40" w:before="140"/>
      </w:pPr>
      <w:r>
        <w:rPr>
          <w:b/>
          <w:bCs/>
        </w:rPr>
        <w:t xml:space="preserve">Is Fevicol SH waterproof?</w:t>
      </w:r>
    </w:p>
    <w:p>
      <w:pPr>
        <w:spacing w:after="100"/>
      </w:pPr>
      <w:r>
        <w:t xml:space="preserve">No. Fevicol SH is MR (Moisture Resistant) grade, suited to dry interior applications. For areas exposed to standing water or high humidity — kitchens, bathrooms, outdoor furniture — choose Fevicol Marine instead.</w:t>
      </w:r>
    </w:p>
    <w:p>
      <w:pPr>
        <w:spacing w:after="40" w:before="140"/>
      </w:pPr>
      <w:r>
        <w:rPr>
          <w:b/>
          <w:bCs/>
        </w:rPr>
        <w:t xml:space="preserve">How long before I can use the bonded piece?</w:t>
      </w:r>
    </w:p>
    <w:p>
      <w:pPr>
        <w:spacing w:after="100"/>
      </w:pPr>
      <w:r>
        <w:t xml:space="preserve">The joint can typically be unclamped after 2–3 hours, but for maximum strength, leave it under pressure for a full 24 hours before putting it under load.</w:t>
      </w:r>
    </w:p>
    <w:p>
      <w:pPr>
        <w:spacing w:after="40" w:before="140"/>
      </w:pPr>
      <w:r>
        <w:rPr>
          <w:b/>
          <w:bCs/>
        </w:rPr>
        <w:t xml:space="preserve">Can Fevicol SH bond laminate to plywood?</w:t>
      </w:r>
    </w:p>
    <w:p>
      <w:pPr>
        <w:spacing w:after="100"/>
      </w:pPr>
      <w:r>
        <w:t xml:space="preserve">Yes — it's widely used for pasting laminates and veneers onto plywood, MDF, and particle board for furniture and interior work.</w:t>
      </w:r>
    </w:p>
    <w:p>
      <w:pPr>
        <w:spacing w:after="40" w:before="140"/>
      </w:pPr>
      <w:r>
        <w:rPr>
          <w:b/>
          <w:bCs/>
        </w:rPr>
        <w:t xml:space="preserve">What surfaces should I avoid using it on?</w:t>
      </w:r>
    </w:p>
    <w:p>
      <w:pPr>
        <w:spacing w:after="100"/>
      </w:pPr>
      <w:r>
        <w:t xml:space="preserve">Fevicol SH is designed for wood-to-wood and wood-based panel bonding. It is not intended for PVC, acrylic sheet, metal, glass, or stone — for PVC/acrylic lamination, use Fevicol Pro Bond instead.</w:t>
      </w:r>
    </w:p>
    <w:p>
      <w:pPr>
        <w:spacing w:after="40" w:before="140"/>
      </w:pPr>
      <w:r>
        <w:rPr>
          <w:b/>
          <w:bCs/>
        </w:rPr>
        <w:t xml:space="preserve">Which pack size is right for me?</w:t>
      </w:r>
    </w:p>
    <w:p>
      <w:pPr>
        <w:spacing w:after="100"/>
      </w:pPr>
      <w:r>
        <w:t xml:space="preserve">Small packs (50 g–500 g) suit home repairs and small craft projects; 1–5 kg suits individual carpenters; 10 kg and above are built for workshops and bulk furniture production.</w:t>
      </w:r>
    </w:p>
    <w:p>
      <w:r>
        <w:br w:type="page"/>
      </w:r>
    </w:p>
    <w:p>
      <w:pPr>
        <w:pStyle w:val="Heading1"/>
        <w:spacing w:after="120" w:before="200"/>
      </w:pPr>
      <w:r>
        <w:t xml:space="preserve">Fevicol Marine</w:t>
      </w:r>
    </w:p>
    <w:p>
      <w:pPr>
        <w:spacing w:after="60"/>
      </w:pPr>
      <w:r>
        <w:rPr>
          <w:b/>
          <w:bCs/>
          <w:sz w:val="26"/>
          <w:szCs w:val="26"/>
        </w:rPr>
        <w:t xml:space="preserve">Genuine Waterproof Strength for Wet &amp; Demanding Environments</w:t>
      </w:r>
    </w:p>
    <w:p>
      <w:pPr>
        <w:spacing w:after="200"/>
      </w:pPr>
      <w:r>
        <w:rPr>
          <w:i/>
          <w:iCs/>
          <w:color w:val="C8102E"/>
          <w:sz w:val="24"/>
          <w:szCs w:val="24"/>
        </w:rPr>
        <w:t xml:space="preserve">When water is part of the job, Marine is the only adhesive built to win.</w:t>
      </w:r>
    </w:p>
    <w:p>
      <w:pPr>
        <w:pStyle w:val="Heading2"/>
        <w:spacing w:after="100" w:before="260"/>
      </w:pPr>
      <w:r>
        <w:t xml:space="preserve">Overview</w:t>
      </w:r>
    </w:p>
    <w:p>
      <w:pPr>
        <w:spacing w:after="140"/>
      </w:pPr>
      <w:r>
        <w:t xml:space="preserve">Fevicol Marine is Pidilite's high-performance, BWP (Boiling Water Proof) grade adhesive — engineered for wood-based work that simply cannot afford to fail when moisture is involved. Where ordinary wood glue softens and lets go, Fevicol Marine holds firm through standing water, humidity, and repeated wet-dry cycles.</w:t>
      </w:r>
    </w:p>
    <w:p>
      <w:pPr>
        <w:spacing w:after="140"/>
      </w:pPr>
      <w:r>
        <w:t xml:space="preserve">Beyond raw waterproofing, Fevicol Marine also resists fungal and bacterial growth, protecting bonded joints in permanently damp conditions — exactly the environments where furniture failure is most common and most costly.</w:t>
      </w:r>
    </w:p>
    <w:p>
      <w:pPr>
        <w:pStyle w:val="Heading2"/>
        <w:spacing w:after="100" w:before="260"/>
      </w:pPr>
      <w:r>
        <w:t xml:space="preserve">Key Features</w:t>
      </w:r>
    </w:p>
    <w:p>
      <w:pPr>
        <w:pStyle w:val="ListParagraph"/>
        <w:numPr>
          <w:ilvl w:val="0"/>
          <w:numId w:val="2"/>
        </w:numPr>
        <w:spacing w:after="60"/>
      </w:pPr>
      <w:r>
        <w:t xml:space="preserve">Genuine BWP grade: engineered to survive boiling water exposure, not just resist splashes</w:t>
      </w:r>
    </w:p>
    <w:p>
      <w:pPr>
        <w:pStyle w:val="ListParagraph"/>
        <w:numPr>
          <w:ilvl w:val="0"/>
          <w:numId w:val="2"/>
        </w:numPr>
        <w:spacing w:after="60"/>
      </w:pPr>
      <w:r>
        <w:t xml:space="preserve">Approximately 7 hours of boiling-water-proof protection and 7 days of normal water-proof protection</w:t>
      </w:r>
    </w:p>
    <w:p>
      <w:pPr>
        <w:pStyle w:val="ListParagraph"/>
        <w:numPr>
          <w:ilvl w:val="0"/>
          <w:numId w:val="2"/>
        </w:numPr>
        <w:spacing w:after="60"/>
      </w:pPr>
      <w:r>
        <w:t xml:space="preserve">Fast 4-hour setting time despite its heavy-duty formulation</w:t>
      </w:r>
    </w:p>
    <w:p>
      <w:pPr>
        <w:pStyle w:val="ListParagraph"/>
        <w:numPr>
          <w:ilvl w:val="0"/>
          <w:numId w:val="2"/>
        </w:numPr>
        <w:spacing w:after="60"/>
      </w:pPr>
      <w:r>
        <w:t xml:space="preserve">Resists fungus and bacteria — critical for permanently humid installations</w:t>
      </w:r>
    </w:p>
    <w:p>
      <w:pPr>
        <w:pStyle w:val="ListParagraph"/>
        <w:numPr>
          <w:ilvl w:val="0"/>
          <w:numId w:val="2"/>
        </w:numPr>
        <w:spacing w:after="60"/>
      </w:pPr>
      <w:r>
        <w:t xml:space="preserve">High bond strength that holds up under structural and environmental stress</w:t>
      </w:r>
    </w:p>
    <w:p>
      <w:pPr>
        <w:pStyle w:val="ListParagraph"/>
        <w:numPr>
          <w:ilvl w:val="0"/>
          <w:numId w:val="2"/>
        </w:numPr>
        <w:spacing w:after="60"/>
      </w:pPr>
      <w:r>
        <w:t xml:space="preserve">Formulated specifically for marine-grade and moisture-prone woodworking</w:t>
      </w:r>
    </w:p>
    <w:p>
      <w:pPr>
        <w:pStyle w:val="Heading2"/>
        <w:spacing w:after="100" w:before="260"/>
      </w:pPr>
      <w:r>
        <w:t xml:space="preserve">Applications &amp; Uses</w:t>
      </w:r>
    </w:p>
    <w:p>
      <w:pPr>
        <w:pStyle w:val="ListParagraph"/>
        <w:numPr>
          <w:ilvl w:val="0"/>
          <w:numId w:val="2"/>
        </w:numPr>
        <w:spacing w:after="60"/>
      </w:pPr>
      <w:r>
        <w:t xml:space="preserve">Outdoor furniture exposed to rain and humidity</w:t>
      </w:r>
    </w:p>
    <w:p>
      <w:pPr>
        <w:pStyle w:val="ListParagraph"/>
        <w:numPr>
          <w:ilvl w:val="0"/>
          <w:numId w:val="2"/>
        </w:numPr>
        <w:spacing w:after="60"/>
      </w:pPr>
      <w:r>
        <w:t xml:space="preserve">Kitchen sink base units and bathroom vanity carcasses</w:t>
      </w:r>
    </w:p>
    <w:p>
      <w:pPr>
        <w:pStyle w:val="ListParagraph"/>
        <w:numPr>
          <w:ilvl w:val="0"/>
          <w:numId w:val="2"/>
        </w:numPr>
        <w:spacing w:after="60"/>
      </w:pPr>
      <w:r>
        <w:t xml:space="preserve">Window and door frames in wood</w:t>
      </w:r>
    </w:p>
    <w:p>
      <w:pPr>
        <w:pStyle w:val="ListParagraph"/>
        <w:numPr>
          <w:ilvl w:val="0"/>
          <w:numId w:val="2"/>
        </w:numPr>
        <w:spacing w:after="60"/>
      </w:pPr>
      <w:r>
        <w:t xml:space="preserve">Boats, docks, and other genuine marine/wet-area applications</w:t>
      </w:r>
    </w:p>
    <w:p>
      <w:pPr>
        <w:pStyle w:val="ListParagraph"/>
        <w:numPr>
          <w:ilvl w:val="0"/>
          <w:numId w:val="2"/>
        </w:numPr>
        <w:spacing w:after="60"/>
      </w:pPr>
      <w:r>
        <w:t xml:space="preserve">Any wood-to-wood or panel bonding where standing or flowing water is expected</w:t>
      </w:r>
    </w:p>
    <w:p>
      <w:pPr>
        <w:pStyle w:val="Heading2"/>
        <w:spacing w:after="100" w:before="260"/>
      </w:pPr>
      <w:r>
        <w:t xml:space="preserve">How to Apply</w:t>
      </w:r>
    </w:p>
    <w:p>
      <w:pPr>
        <w:pStyle w:val="ListParagraph"/>
        <w:numPr>
          <w:ilvl w:val="0"/>
          <w:numId w:val="3"/>
        </w:numPr>
        <w:spacing w:after="60"/>
      </w:pPr>
      <w:r>
        <w:t xml:space="preserve">Prepare: Use BWP/marine-grade plywood or substrate wherever possible — the adhesive can only protect the joint, not a substrate that isn't rated for water.</w:t>
      </w:r>
    </w:p>
    <w:p>
      <w:pPr>
        <w:pStyle w:val="ListParagraph"/>
        <w:numPr>
          <w:ilvl w:val="0"/>
          <w:numId w:val="3"/>
        </w:numPr>
        <w:spacing w:after="60"/>
      </w:pPr>
      <w:r>
        <w:t xml:space="preserve">Clean: Ensure surfaces are dry, clean, and free of grease or dust before application.</w:t>
      </w:r>
    </w:p>
    <w:p>
      <w:pPr>
        <w:pStyle w:val="ListParagraph"/>
        <w:numPr>
          <w:ilvl w:val="0"/>
          <w:numId w:val="3"/>
        </w:numPr>
        <w:spacing w:after="60"/>
      </w:pPr>
      <w:r>
        <w:t xml:space="preserve">Apply: Spread an even coat of Fevicol Marine on the mating surfaces.</w:t>
      </w:r>
    </w:p>
    <w:p>
      <w:pPr>
        <w:pStyle w:val="ListParagraph"/>
        <w:numPr>
          <w:ilvl w:val="0"/>
          <w:numId w:val="3"/>
        </w:numPr>
        <w:spacing w:after="60"/>
      </w:pPr>
      <w:r>
        <w:t xml:space="preserve">Join &amp; Clamp: Press surfaces together and clamp firmly; initial set develops in about 4 hours.</w:t>
      </w:r>
    </w:p>
    <w:p>
      <w:pPr>
        <w:pStyle w:val="ListParagraph"/>
        <w:numPr>
          <w:ilvl w:val="0"/>
          <w:numId w:val="3"/>
        </w:numPr>
        <w:spacing w:after="60"/>
      </w:pPr>
      <w:r>
        <w:t xml:space="preserve">Cure: Allow a full cure period before exposing the joint to sustained water contact for best long-term performance.</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Grade</w:t>
            </w:r>
          </w:p>
        </w:tc>
        <w:tc>
          <w:tcPr>
            <w:tcW w:type="dxa" w:w="6000"/>
          </w:tcPr>
          <w:p>
            <w:r>
              <w:rPr>
                <w:b w:val="false"/>
                <w:bCs w:val="false"/>
              </w:rPr>
              <w:t xml:space="preserve">BWP (Boiling Water Proof)</w:t>
            </w:r>
          </w:p>
        </w:tc>
      </w:tr>
      <w:tr>
        <w:tc>
          <w:tcPr>
            <w:tcW w:type="dxa" w:w="3000"/>
            <w:shd w:fill="F2E5E7" w:val="clear"/>
          </w:tcPr>
          <w:p>
            <w:r>
              <w:rPr>
                <w:b/>
                <w:bCs/>
              </w:rPr>
              <w:t xml:space="preserve">Boiling water resistance</w:t>
            </w:r>
          </w:p>
        </w:tc>
        <w:tc>
          <w:tcPr>
            <w:tcW w:type="dxa" w:w="6000"/>
          </w:tcPr>
          <w:p>
            <w:r>
              <w:rPr>
                <w:b w:val="false"/>
                <w:bCs w:val="false"/>
              </w:rPr>
              <w:t xml:space="preserve">~7 hours</w:t>
            </w:r>
          </w:p>
        </w:tc>
      </w:tr>
      <w:tr>
        <w:tc>
          <w:tcPr>
            <w:tcW w:type="dxa" w:w="3000"/>
            <w:shd w:fill="F2E5E7" w:val="clear"/>
          </w:tcPr>
          <w:p>
            <w:r>
              <w:rPr>
                <w:b/>
                <w:bCs/>
              </w:rPr>
              <w:t xml:space="preserve">Normal water resistance</w:t>
            </w:r>
          </w:p>
        </w:tc>
        <w:tc>
          <w:tcPr>
            <w:tcW w:type="dxa" w:w="6000"/>
          </w:tcPr>
          <w:p>
            <w:r>
              <w:rPr>
                <w:b w:val="false"/>
                <w:bCs w:val="false"/>
              </w:rPr>
              <w:t xml:space="preserve">~7 days</w:t>
            </w:r>
          </w:p>
        </w:tc>
      </w:tr>
      <w:tr>
        <w:tc>
          <w:tcPr>
            <w:tcW w:type="dxa" w:w="3000"/>
            <w:shd w:fill="F2E5E7" w:val="clear"/>
          </w:tcPr>
          <w:p>
            <w:r>
              <w:rPr>
                <w:b/>
                <w:bCs/>
              </w:rPr>
              <w:t xml:space="preserve">Setting time</w:t>
            </w:r>
          </w:p>
        </w:tc>
        <w:tc>
          <w:tcPr>
            <w:tcW w:type="dxa" w:w="6000"/>
          </w:tcPr>
          <w:p>
            <w:r>
              <w:rPr>
                <w:b w:val="false"/>
                <w:bCs w:val="false"/>
              </w:rPr>
              <w:t xml:space="preserve">~4 hours</w:t>
            </w:r>
          </w:p>
        </w:tc>
      </w:tr>
      <w:tr>
        <w:tc>
          <w:tcPr>
            <w:tcW w:type="dxa" w:w="3000"/>
            <w:shd w:fill="F2E5E7" w:val="clear"/>
          </w:tcPr>
          <w:p>
            <w:r>
              <w:rPr>
                <w:b/>
                <w:bCs/>
              </w:rPr>
              <w:t xml:space="preserve">Coverage</w:t>
            </w:r>
          </w:p>
        </w:tc>
        <w:tc>
          <w:tcPr>
            <w:tcW w:type="dxa" w:w="6000"/>
          </w:tcPr>
          <w:p>
            <w:r>
              <w:rPr>
                <w:b w:val="false"/>
                <w:bCs w:val="false"/>
              </w:rPr>
              <w:t xml:space="preserve">Approx. 34–38 sq. ft. per kg (double-side application)</w:t>
            </w:r>
          </w:p>
        </w:tc>
      </w:tr>
      <w:tr>
        <w:tc>
          <w:tcPr>
            <w:tcW w:type="dxa" w:w="3000"/>
            <w:shd w:fill="F2E5E7" w:val="clear"/>
          </w:tcPr>
          <w:p>
            <w:r>
              <w:rPr>
                <w:b/>
                <w:bCs/>
              </w:rPr>
              <w:t xml:space="preserve">Additional protection</w:t>
            </w:r>
          </w:p>
        </w:tc>
        <w:tc>
          <w:tcPr>
            <w:tcW w:type="dxa" w:w="6000"/>
          </w:tcPr>
          <w:p>
            <w:r>
              <w:rPr>
                <w:b w:val="false"/>
                <w:bCs w:val="false"/>
              </w:rPr>
              <w:t xml:space="preserve">Resists fungus and bacterial growth</w:t>
            </w:r>
          </w:p>
        </w:tc>
      </w:tr>
      <w:tr>
        <w:tc>
          <w:tcPr>
            <w:tcW w:type="dxa" w:w="3000"/>
            <w:shd w:fill="F2E5E7" w:val="clear"/>
          </w:tcPr>
          <w:p>
            <w:r>
              <w:rPr>
                <w:b/>
                <w:bCs/>
              </w:rPr>
              <w:t xml:space="preserve">Pack sizes</w:t>
            </w:r>
          </w:p>
        </w:tc>
        <w:tc>
          <w:tcPr>
            <w:tcW w:type="dxa" w:w="6000"/>
          </w:tcPr>
          <w:p>
            <w:r>
              <w:rPr>
                <w:b w:val="false"/>
                <w:bCs w:val="false"/>
              </w:rPr>
              <w:t xml:space="preserve">1 kg, 5 kg, 10 kg, 20 kg, 50 kg and larger bulk quantities</w:t>
            </w:r>
          </w:p>
        </w:tc>
      </w:tr>
    </w:tbl>
    <w:p>
      <w:pPr>
        <w:pStyle w:val="Heading2"/>
        <w:spacing w:after="100" w:before="260"/>
      </w:pPr>
      <w:r>
        <w:t xml:space="preserve">Frequently Asked Questions</w:t>
      </w:r>
    </w:p>
    <w:p>
      <w:pPr>
        <w:spacing w:after="40" w:before="140"/>
      </w:pPr>
      <w:r>
        <w:rPr>
          <w:b/>
          <w:bCs/>
        </w:rPr>
        <w:t xml:space="preserve">What does 'BWP grade' actually mean?</w:t>
      </w:r>
    </w:p>
    <w:p>
      <w:pPr>
        <w:spacing w:after="100"/>
      </w:pPr>
      <w:r>
        <w:t xml:space="preserve">BWP stands for Boiling Water Proof — the highest water-resistance classification for wood adhesives, meaning the bond is engineered to withstand prolonged, even boiling, water exposure rather than just occasional dampness.</w:t>
      </w:r>
    </w:p>
    <w:p>
      <w:pPr>
        <w:spacing w:after="40" w:before="140"/>
      </w:pPr>
      <w:r>
        <w:rPr>
          <w:b/>
          <w:bCs/>
        </w:rPr>
        <w:t xml:space="preserve">Is Fevicol Marine only for boats?</w:t>
      </w:r>
    </w:p>
    <w:p>
      <w:pPr>
        <w:spacing w:after="100"/>
      </w:pPr>
      <w:r>
        <w:t xml:space="preserve">No — despite the name, it's used wherever wood meets water: outdoor furniture, kitchen and bathroom carcasses, window frames, and genuine marine applications alike.</w:t>
      </w:r>
    </w:p>
    <w:p>
      <w:pPr>
        <w:spacing w:after="40" w:before="140"/>
      </w:pPr>
      <w:r>
        <w:rPr>
          <w:b/>
          <w:bCs/>
        </w:rPr>
        <w:t xml:space="preserve">Do I still need waterproof plywood if I use Fevicol Marine?</w:t>
      </w:r>
    </w:p>
    <w:p>
      <w:pPr>
        <w:spacing w:after="100"/>
      </w:pPr>
      <w:r>
        <w:t xml:space="preserve">Yes. The adhesive protects the joint, but if the plywood itself isn't BWP/marine-grade, the wood can still be damaged by moisture even if the glue line holds. Pair Marine adhesive with marine-grade substrate for full protection.</w:t>
      </w:r>
    </w:p>
    <w:p>
      <w:pPr>
        <w:spacing w:after="40" w:before="140"/>
      </w:pPr>
      <w:r>
        <w:rPr>
          <w:b/>
          <w:bCs/>
        </w:rPr>
        <w:t xml:space="preserve">How does it compare to Fevicol SH for a kitchen cabinet?</w:t>
      </w:r>
    </w:p>
    <w:p>
      <w:pPr>
        <w:spacing w:after="100"/>
      </w:pPr>
      <w:r>
        <w:t xml:space="preserve">For dry interior cabinets, SH is sufficient and more economical. For anything near a sink, wet-prone kitchen base unit, or bathroom vanity, Marine is the safer, purpose-built choice.</w:t>
      </w:r>
    </w:p>
    <w:p>
      <w:pPr>
        <w:spacing w:after="40" w:before="140"/>
      </w:pPr>
      <w:r>
        <w:rPr>
          <w:b/>
          <w:bCs/>
        </w:rPr>
        <w:t xml:space="preserve">How long should I wait before the piece gets wet?</w:t>
      </w:r>
    </w:p>
    <w:p>
      <w:pPr>
        <w:spacing w:after="100"/>
      </w:pPr>
      <w:r>
        <w:t xml:space="preserve">Initial set is reached in about 4 hours, but allow the joint to cure fully before exposing it to sustained water contact for maximum durability.</w:t>
      </w:r>
    </w:p>
    <w:p>
      <w:r>
        <w:br w:type="page"/>
      </w:r>
    </w:p>
    <w:p>
      <w:pPr>
        <w:pStyle w:val="Heading1"/>
        <w:spacing w:after="120" w:before="200"/>
      </w:pPr>
      <w:r>
        <w:t xml:space="preserve">Fevicol HiPer</w:t>
      </w:r>
    </w:p>
    <w:p>
      <w:pPr>
        <w:spacing w:after="60"/>
      </w:pPr>
      <w:r>
        <w:rPr>
          <w:b/>
          <w:bCs/>
          <w:sz w:val="26"/>
          <w:szCs w:val="26"/>
        </w:rPr>
        <w:t xml:space="preserve">High-Performance Speed for Premium Laminates &amp; Veneers</w:t>
      </w:r>
    </w:p>
    <w:p>
      <w:pPr>
        <w:spacing w:after="200"/>
      </w:pPr>
      <w:r>
        <w:rPr>
          <w:i/>
          <w:iCs/>
          <w:color w:val="C8102E"/>
          <w:sz w:val="24"/>
          <w:szCs w:val="24"/>
        </w:rPr>
        <w:t xml:space="preserve">Faster tack. Faster turnaround. Premium bonds, without the wait.</w:t>
      </w:r>
    </w:p>
    <w:p>
      <w:pPr>
        <w:pStyle w:val="Heading2"/>
        <w:spacing w:after="100" w:before="260"/>
      </w:pPr>
      <w:r>
        <w:t xml:space="preserve">Overview</w:t>
      </w:r>
    </w:p>
    <w:p>
      <w:pPr>
        <w:spacing w:after="140"/>
      </w:pPr>
      <w:r>
        <w:t xml:space="preserve">Fevicol HiPer is a new-generation, high-strength adhesive purpose-built for premium, thick laminates (1 mm and above) and veneer pasting. Where standard wood glue takes its time, HiPer delivers a noticeably higher initial tack and faster handling strength — letting carpenters move to the next step of the job sooner without compromising on bond quality.</w:t>
      </w:r>
    </w:p>
    <w:p>
      <w:pPr>
        <w:spacing w:after="140"/>
      </w:pPr>
      <w:r>
        <w:t xml:space="preserve">Designed for professionals who juggle tight deadlines and premium finishes in the same project, Fevicol HiPer is the adhesive of choice when speed and strength both matter.</w:t>
      </w:r>
    </w:p>
    <w:p>
      <w:pPr>
        <w:pStyle w:val="Heading2"/>
        <w:spacing w:after="100" w:before="260"/>
      </w:pPr>
      <w:r>
        <w:t xml:space="preserve">Key Features</w:t>
      </w:r>
    </w:p>
    <w:p>
      <w:pPr>
        <w:pStyle w:val="ListParagraph"/>
        <w:numPr>
          <w:ilvl w:val="0"/>
          <w:numId w:val="2"/>
        </w:numPr>
        <w:spacing w:after="60"/>
      </w:pPr>
      <w:r>
        <w:t xml:space="preserve">High initial tack for quick, confident positioning of laminates and veneers</w:t>
      </w:r>
    </w:p>
    <w:p>
      <w:pPr>
        <w:pStyle w:val="ListParagraph"/>
        <w:numPr>
          <w:ilvl w:val="0"/>
          <w:numId w:val="2"/>
        </w:numPr>
        <w:spacing w:after="60"/>
      </w:pPr>
      <w:r>
        <w:t xml:space="preserve">Handling strength develops in as little as 2 hours</w:t>
      </w:r>
    </w:p>
    <w:p>
      <w:pPr>
        <w:pStyle w:val="ListParagraph"/>
        <w:numPr>
          <w:ilvl w:val="0"/>
          <w:numId w:val="2"/>
        </w:numPr>
        <w:spacing w:after="60"/>
      </w:pPr>
      <w:r>
        <w:t xml:space="preserve">Engineered specifically for thick, premium-grade laminates (1 mm+)</w:t>
      </w:r>
    </w:p>
    <w:p>
      <w:pPr>
        <w:pStyle w:val="ListParagraph"/>
        <w:numPr>
          <w:ilvl w:val="0"/>
          <w:numId w:val="2"/>
        </w:numPr>
        <w:spacing w:after="60"/>
      </w:pPr>
      <w:r>
        <w:t xml:space="preserve">Strong, durable bond quality suited to professional furniture manufacturing</w:t>
      </w:r>
    </w:p>
    <w:p>
      <w:pPr>
        <w:pStyle w:val="ListParagraph"/>
        <w:numPr>
          <w:ilvl w:val="0"/>
          <w:numId w:val="2"/>
        </w:numPr>
        <w:spacing w:after="60"/>
      </w:pPr>
      <w:r>
        <w:t xml:space="preserve">Smooth application that reduces bubbling and lifting on large laminate sheets</w:t>
      </w:r>
    </w:p>
    <w:p>
      <w:pPr>
        <w:pStyle w:val="Heading2"/>
        <w:spacing w:after="100" w:before="260"/>
      </w:pPr>
      <w:r>
        <w:t xml:space="preserve">Applications &amp; Uses</w:t>
      </w:r>
    </w:p>
    <w:p>
      <w:pPr>
        <w:pStyle w:val="ListParagraph"/>
        <w:numPr>
          <w:ilvl w:val="0"/>
          <w:numId w:val="2"/>
        </w:numPr>
        <w:spacing w:after="60"/>
      </w:pPr>
      <w:r>
        <w:t xml:space="preserve">Pasting premium and thick laminates onto plywood, MDF, and particle board</w:t>
      </w:r>
    </w:p>
    <w:p>
      <w:pPr>
        <w:pStyle w:val="ListParagraph"/>
        <w:numPr>
          <w:ilvl w:val="0"/>
          <w:numId w:val="2"/>
        </w:numPr>
        <w:spacing w:after="60"/>
      </w:pPr>
      <w:r>
        <w:t xml:space="preserve">Veneer bonding for high-end furniture and cabinetry</w:t>
      </w:r>
    </w:p>
    <w:p>
      <w:pPr>
        <w:pStyle w:val="ListParagraph"/>
        <w:numPr>
          <w:ilvl w:val="0"/>
          <w:numId w:val="2"/>
        </w:numPr>
        <w:spacing w:after="60"/>
      </w:pPr>
      <w:r>
        <w:t xml:space="preserve">Fast-turnaround carpentry projects and workshop production lines</w:t>
      </w:r>
    </w:p>
    <w:p>
      <w:pPr>
        <w:pStyle w:val="ListParagraph"/>
        <w:numPr>
          <w:ilvl w:val="0"/>
          <w:numId w:val="2"/>
        </w:numPr>
        <w:spacing w:after="60"/>
      </w:pPr>
      <w:r>
        <w:t xml:space="preserve">Furniture manufacturing where quick handling strength speeds up throughput</w:t>
      </w:r>
    </w:p>
    <w:p>
      <w:pPr>
        <w:pStyle w:val="Heading2"/>
        <w:spacing w:after="100" w:before="260"/>
      </w:pPr>
      <w:r>
        <w:t xml:space="preserve">How to Apply</w:t>
      </w:r>
    </w:p>
    <w:p>
      <w:pPr>
        <w:pStyle w:val="ListParagraph"/>
        <w:numPr>
          <w:ilvl w:val="0"/>
          <w:numId w:val="3"/>
        </w:numPr>
        <w:spacing w:after="60"/>
      </w:pPr>
      <w:r>
        <w:t xml:space="preserve">Prepare: Clean and dry both the substrate and the laminate/veneer surface thoroughly.</w:t>
      </w:r>
    </w:p>
    <w:p>
      <w:pPr>
        <w:pStyle w:val="ListParagraph"/>
        <w:numPr>
          <w:ilvl w:val="0"/>
          <w:numId w:val="3"/>
        </w:numPr>
        <w:spacing w:after="60"/>
      </w:pPr>
      <w:r>
        <w:t xml:space="preserve">Apply: Spread Fevicol HiPer evenly across both surfaces for a strong, uniform bond.</w:t>
      </w:r>
    </w:p>
    <w:p>
      <w:pPr>
        <w:pStyle w:val="ListParagraph"/>
        <w:numPr>
          <w:ilvl w:val="0"/>
          <w:numId w:val="3"/>
        </w:numPr>
        <w:spacing w:after="60"/>
      </w:pPr>
      <w:r>
        <w:t xml:space="preserve">Position quickly: Because of its high initial tack, align the laminate or veneer accurately before pressing — repositioning becomes difficult once contact is made.</w:t>
      </w:r>
    </w:p>
    <w:p>
      <w:pPr>
        <w:pStyle w:val="ListParagraph"/>
        <w:numPr>
          <w:ilvl w:val="0"/>
          <w:numId w:val="3"/>
        </w:numPr>
        <w:spacing w:after="60"/>
      </w:pPr>
      <w:r>
        <w:t xml:space="preserve">Press &amp; Clamp: Apply firm, even pressure across the full surface, using a roller or clamps as appropriate for large panels.</w:t>
      </w:r>
    </w:p>
    <w:p>
      <w:pPr>
        <w:pStyle w:val="ListParagraph"/>
        <w:numPr>
          <w:ilvl w:val="0"/>
          <w:numId w:val="3"/>
        </w:numPr>
        <w:spacing w:after="60"/>
      </w:pPr>
      <w:r>
        <w:t xml:space="preserve">Hold: Maintain pressure until handling strength is reached (around 2 hours) before further processing.</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Ideal for</w:t>
            </w:r>
          </w:p>
        </w:tc>
        <w:tc>
          <w:tcPr>
            <w:tcW w:type="dxa" w:w="6000"/>
          </w:tcPr>
          <w:p>
            <w:r>
              <w:rPr>
                <w:b w:val="false"/>
                <w:bCs w:val="false"/>
              </w:rPr>
              <w:t xml:space="preserve">Premium laminates 1 mm and above, veneers</w:t>
            </w:r>
          </w:p>
        </w:tc>
      </w:tr>
      <w:tr>
        <w:tc>
          <w:tcPr>
            <w:tcW w:type="dxa" w:w="3000"/>
            <w:shd w:fill="F2E5E7" w:val="clear"/>
          </w:tcPr>
          <w:p>
            <w:r>
              <w:rPr>
                <w:b/>
                <w:bCs/>
              </w:rPr>
              <w:t xml:space="preserve">Handling strength</w:t>
            </w:r>
          </w:p>
        </w:tc>
        <w:tc>
          <w:tcPr>
            <w:tcW w:type="dxa" w:w="6000"/>
          </w:tcPr>
          <w:p>
            <w:r>
              <w:rPr>
                <w:b w:val="false"/>
                <w:bCs w:val="false"/>
              </w:rPr>
              <w:t xml:space="preserve">~2 hours</w:t>
            </w:r>
          </w:p>
        </w:tc>
      </w:tr>
      <w:tr>
        <w:tc>
          <w:tcPr>
            <w:tcW w:type="dxa" w:w="3000"/>
            <w:shd w:fill="F2E5E7" w:val="clear"/>
          </w:tcPr>
          <w:p>
            <w:r>
              <w:rPr>
                <w:b/>
                <w:bCs/>
              </w:rPr>
              <w:t xml:space="preserve">Bond character</w:t>
            </w:r>
          </w:p>
        </w:tc>
        <w:tc>
          <w:tcPr>
            <w:tcW w:type="dxa" w:w="6000"/>
          </w:tcPr>
          <w:p>
            <w:r>
              <w:rPr>
                <w:b w:val="false"/>
                <w:bCs w:val="false"/>
              </w:rPr>
              <w:t xml:space="preserve">High initial tack, fast-setting</w:t>
            </w:r>
          </w:p>
        </w:tc>
      </w:tr>
      <w:tr>
        <w:tc>
          <w:tcPr>
            <w:tcW w:type="dxa" w:w="3000"/>
            <w:shd w:fill="F2E5E7" w:val="clear"/>
          </w:tcPr>
          <w:p>
            <w:r>
              <w:rPr>
                <w:b/>
                <w:bCs/>
              </w:rPr>
              <w:t xml:space="preserve">Pack sizes</w:t>
            </w:r>
          </w:p>
        </w:tc>
        <w:tc>
          <w:tcPr>
            <w:tcW w:type="dxa" w:w="6000"/>
          </w:tcPr>
          <w:p>
            <w:r>
              <w:rPr>
                <w:b w:val="false"/>
                <w:bCs w:val="false"/>
              </w:rPr>
              <w:t xml:space="preserve">5 kg, 10 kg, 20 kg, 50 kg</w:t>
            </w:r>
          </w:p>
        </w:tc>
      </w:tr>
    </w:tbl>
    <w:p>
      <w:pPr>
        <w:pStyle w:val="Heading2"/>
        <w:spacing w:after="100" w:before="260"/>
      </w:pPr>
      <w:r>
        <w:t xml:space="preserve">Frequently Asked Questions</w:t>
      </w:r>
    </w:p>
    <w:p>
      <w:pPr>
        <w:spacing w:after="40" w:before="140"/>
      </w:pPr>
      <w:r>
        <w:rPr>
          <w:b/>
          <w:bCs/>
        </w:rPr>
        <w:t xml:space="preserve">How is HiPer different from Fevicol SH?</w:t>
      </w:r>
    </w:p>
    <w:p>
      <w:pPr>
        <w:spacing w:after="100"/>
      </w:pPr>
      <w:r>
        <w:t xml:space="preserve">Both are wood adhesives, but HiPer is formulated for faster initial tack and quicker handling strength — ideal when you're working with premium, thick laminates and can't afford long clamp times. SH is the general-purpose, budget-friendly choice for standard wood-to-wood joinery.</w:t>
      </w:r>
    </w:p>
    <w:p>
      <w:pPr>
        <w:spacing w:after="40" w:before="140"/>
      </w:pPr>
      <w:r>
        <w:rPr>
          <w:b/>
          <w:bCs/>
        </w:rPr>
        <w:t xml:space="preserve">Is HiPer suitable for thin laminates?</w:t>
      </w:r>
    </w:p>
    <w:p>
      <w:pPr>
        <w:spacing w:after="100"/>
      </w:pPr>
      <w:r>
        <w:t xml:space="preserve">It's specifically engineered for premium, thick laminates (1 mm and above) and veneers — for standard thin laminate work, Fevicol SH is typically sufficient.</w:t>
      </w:r>
    </w:p>
    <w:p>
      <w:pPr>
        <w:spacing w:after="40" w:before="140"/>
      </w:pPr>
      <w:r>
        <w:rPr>
          <w:b/>
          <w:bCs/>
        </w:rPr>
        <w:t xml:space="preserve">Does the fast tack make it harder to reposition?</w:t>
      </w:r>
    </w:p>
    <w:p>
      <w:pPr>
        <w:spacing w:after="100"/>
      </w:pPr>
      <w:r>
        <w:t xml:space="preserve">Yes — the higher initial tack that makes HiPer fast also means less time to adjust alignment. Position laminates and veneers accurately before pressing them into full contact.</w:t>
      </w:r>
    </w:p>
    <w:p>
      <w:pPr>
        <w:spacing w:after="40" w:before="140"/>
      </w:pPr>
      <w:r>
        <w:rPr>
          <w:b/>
          <w:bCs/>
        </w:rPr>
        <w:t xml:space="preserve">How soon can I move the piece to the next process step?</w:t>
      </w:r>
    </w:p>
    <w:p>
      <w:pPr>
        <w:spacing w:after="100"/>
      </w:pPr>
      <w:r>
        <w:t xml:space="preserve">Handling strength is reached in around 2 hours, letting workshops keep production moving without long downtime.</w:t>
      </w:r>
    </w:p>
    <w:p>
      <w:pPr>
        <w:spacing w:after="40" w:before="140"/>
      </w:pPr>
      <w:r>
        <w:rPr>
          <w:b/>
          <w:bCs/>
        </w:rPr>
        <w:t xml:space="preserve">Is HiPer waterproof?</w:t>
      </w:r>
    </w:p>
    <w:p>
      <w:pPr>
        <w:spacing w:after="100"/>
      </w:pPr>
      <w:r>
        <w:t xml:space="preserve">HiPer is built for speed and strength on laminate/veneer work, not for wet-area waterproofing. For moisture-heavy applications, use Fevicol Marine instead.</w:t>
      </w:r>
    </w:p>
    <w:p>
      <w:r>
        <w:br w:type="page"/>
      </w:r>
    </w:p>
    <w:p>
      <w:pPr>
        <w:pStyle w:val="Heading1"/>
        <w:spacing w:after="120" w:before="200"/>
      </w:pPr>
      <w:r>
        <w:t xml:space="preserve">Fevicol Pro Bond</w:t>
      </w:r>
    </w:p>
    <w:p>
      <w:pPr>
        <w:spacing w:after="60"/>
      </w:pPr>
      <w:r>
        <w:rPr>
          <w:b/>
          <w:bCs/>
          <w:sz w:val="26"/>
          <w:szCs w:val="26"/>
        </w:rPr>
        <w:t xml:space="preserve">Specialist Adhesive for PVC &amp; Acrylic Lamination</w:t>
      </w:r>
    </w:p>
    <w:p>
      <w:pPr>
        <w:spacing w:after="200"/>
      </w:pPr>
      <w:r>
        <w:rPr>
          <w:i/>
          <w:iCs/>
          <w:color w:val="C8102E"/>
          <w:sz w:val="24"/>
          <w:szCs w:val="24"/>
        </w:rPr>
        <w:t xml:space="preserve">Built specifically for PVC and acrylic — where wood glue falls short.</w:t>
      </w:r>
    </w:p>
    <w:p>
      <w:pPr>
        <w:pStyle w:val="Heading2"/>
        <w:spacing w:after="100" w:before="260"/>
      </w:pPr>
      <w:r>
        <w:t xml:space="preserve">Overview</w:t>
      </w:r>
    </w:p>
    <w:p>
      <w:pPr>
        <w:spacing w:after="140"/>
      </w:pPr>
      <w:r>
        <w:t xml:space="preserve">Fevicol Pro Bond is a water-based synthetic resin adhesive engineered specifically for laminating PVC and acrylic sheet onto MDF, plywood, and particle board. Standard wood adhesives aren't formulated to grip non-porous PVC and acrylic surfaces reliably — Pro Bond is. It's also the go-to choice for manual PVC edge-banding, letting carpenters apply PVC strips to board edges without an edge-banding machine.</w:t>
      </w:r>
    </w:p>
    <w:p>
      <w:pPr>
        <w:spacing w:after="140"/>
      </w:pPr>
      <w:r>
        <w:t xml:space="preserve">GreenPro certified, Fevicol Pro Bond combines dependable adhesion with heat and moisture resistance, making it a natural fit for kitchens, wardrobes, and other interior spaces where PVC and acrylic finishes are increasingly popular.</w:t>
      </w:r>
    </w:p>
    <w:p>
      <w:pPr>
        <w:pStyle w:val="Heading2"/>
        <w:spacing w:after="100" w:before="260"/>
      </w:pPr>
      <w:r>
        <w:t xml:space="preserve">Key Features</w:t>
      </w:r>
    </w:p>
    <w:p>
      <w:pPr>
        <w:pStyle w:val="ListParagraph"/>
        <w:numPr>
          <w:ilvl w:val="0"/>
          <w:numId w:val="2"/>
        </w:numPr>
        <w:spacing w:after="60"/>
      </w:pPr>
      <w:r>
        <w:t xml:space="preserve">Purpose-built for PVC and acrylic sheet — not a generic wood glue repurposed for the job</w:t>
      </w:r>
    </w:p>
    <w:p>
      <w:pPr>
        <w:pStyle w:val="ListParagraph"/>
        <w:numPr>
          <w:ilvl w:val="0"/>
          <w:numId w:val="2"/>
        </w:numPr>
        <w:spacing w:after="60"/>
      </w:pPr>
      <w:r>
        <w:t xml:space="preserve">Enables manual PVC edge-banding without specialised machinery</w:t>
      </w:r>
    </w:p>
    <w:p>
      <w:pPr>
        <w:pStyle w:val="ListParagraph"/>
        <w:numPr>
          <w:ilvl w:val="0"/>
          <w:numId w:val="2"/>
        </w:numPr>
        <w:spacing w:after="60"/>
      </w:pPr>
      <w:r>
        <w:t xml:space="preserve">Bond strength develops in 4–6 hours; full strength within 24 hours at room temperature</w:t>
      </w:r>
    </w:p>
    <w:p>
      <w:pPr>
        <w:pStyle w:val="ListParagraph"/>
        <w:numPr>
          <w:ilvl w:val="0"/>
          <w:numId w:val="2"/>
        </w:numPr>
        <w:spacing w:after="60"/>
      </w:pPr>
      <w:r>
        <w:t xml:space="preserve">Heat and moisture resistant for kitchen and wardrobe applications</w:t>
      </w:r>
    </w:p>
    <w:p>
      <w:pPr>
        <w:pStyle w:val="ListParagraph"/>
        <w:numPr>
          <w:ilvl w:val="0"/>
          <w:numId w:val="2"/>
        </w:numPr>
        <w:spacing w:after="60"/>
      </w:pPr>
      <w:r>
        <w:t xml:space="preserve">Dries clear for a clean, professional finish</w:t>
      </w:r>
    </w:p>
    <w:p>
      <w:pPr>
        <w:pStyle w:val="ListParagraph"/>
        <w:numPr>
          <w:ilvl w:val="0"/>
          <w:numId w:val="2"/>
        </w:numPr>
        <w:spacing w:after="60"/>
      </w:pPr>
      <w:r>
        <w:t xml:space="preserve">GreenPro certified formulation</w:t>
      </w:r>
    </w:p>
    <w:p>
      <w:pPr>
        <w:pStyle w:val="Heading2"/>
        <w:spacing w:after="100" w:before="260"/>
      </w:pPr>
      <w:r>
        <w:t xml:space="preserve">Applications &amp; Uses</w:t>
      </w:r>
    </w:p>
    <w:p>
      <w:pPr>
        <w:pStyle w:val="ListParagraph"/>
        <w:numPr>
          <w:ilvl w:val="0"/>
          <w:numId w:val="2"/>
        </w:numPr>
        <w:spacing w:after="60"/>
      </w:pPr>
      <w:r>
        <w:t xml:space="preserve">Laminating PVC sheet onto MDF, plywood, and particle board</w:t>
      </w:r>
    </w:p>
    <w:p>
      <w:pPr>
        <w:pStyle w:val="ListParagraph"/>
        <w:numPr>
          <w:ilvl w:val="0"/>
          <w:numId w:val="2"/>
        </w:numPr>
        <w:spacing w:after="60"/>
      </w:pPr>
      <w:r>
        <w:t xml:space="preserve">Bonding acrylic laminate to wood-based panels</w:t>
      </w:r>
    </w:p>
    <w:p>
      <w:pPr>
        <w:pStyle w:val="ListParagraph"/>
        <w:numPr>
          <w:ilvl w:val="0"/>
          <w:numId w:val="2"/>
        </w:numPr>
        <w:spacing w:after="60"/>
      </w:pPr>
      <w:r>
        <w:t xml:space="preserve">Manual edge-banding of PVC strips/tapes onto board edges</w:t>
      </w:r>
    </w:p>
    <w:p>
      <w:pPr>
        <w:pStyle w:val="ListParagraph"/>
        <w:numPr>
          <w:ilvl w:val="0"/>
          <w:numId w:val="2"/>
        </w:numPr>
        <w:spacing w:after="60"/>
      </w:pPr>
      <w:r>
        <w:t xml:space="preserve">Kitchen shutters, wardrobes, and furniture with PVC or acrylic finishes</w:t>
      </w:r>
    </w:p>
    <w:p>
      <w:pPr>
        <w:pStyle w:val="Heading2"/>
        <w:spacing w:after="100" w:before="260"/>
      </w:pPr>
      <w:r>
        <w:t xml:space="preserve">How to Apply</w:t>
      </w:r>
    </w:p>
    <w:p>
      <w:pPr>
        <w:pStyle w:val="ListParagraph"/>
        <w:numPr>
          <w:ilvl w:val="0"/>
          <w:numId w:val="3"/>
        </w:numPr>
        <w:spacing w:after="60"/>
      </w:pPr>
      <w:r>
        <w:t xml:space="preserve">Prepare: Ensure both the board surface and the PVC/acrylic sheet or strip are clean, dry, and dust-free.</w:t>
      </w:r>
    </w:p>
    <w:p>
      <w:pPr>
        <w:pStyle w:val="ListParagraph"/>
        <w:numPr>
          <w:ilvl w:val="0"/>
          <w:numId w:val="3"/>
        </w:numPr>
        <w:spacing w:after="60"/>
      </w:pPr>
      <w:r>
        <w:t xml:space="preserve">Apply: Spread Fevicol Pro Bond evenly on both surfaces to be joined.</w:t>
      </w:r>
    </w:p>
    <w:p>
      <w:pPr>
        <w:pStyle w:val="ListParagraph"/>
        <w:numPr>
          <w:ilvl w:val="0"/>
          <w:numId w:val="3"/>
        </w:numPr>
        <w:spacing w:after="60"/>
      </w:pPr>
      <w:r>
        <w:t xml:space="preserve">Wait for tack: Allow the adhesive to reach the right tack level as per pack instructions before joining, for the best bond on non-porous PVC/acrylic surfaces.</w:t>
      </w:r>
    </w:p>
    <w:p>
      <w:pPr>
        <w:pStyle w:val="ListParagraph"/>
        <w:numPr>
          <w:ilvl w:val="0"/>
          <w:numId w:val="3"/>
        </w:numPr>
        <w:spacing w:after="60"/>
      </w:pPr>
      <w:r>
        <w:t xml:space="preserve">Press: Join the surfaces and press firmly — for edge-banding, run firm, even pressure along the full length of the strip.</w:t>
      </w:r>
    </w:p>
    <w:p>
      <w:pPr>
        <w:pStyle w:val="ListParagraph"/>
        <w:numPr>
          <w:ilvl w:val="0"/>
          <w:numId w:val="3"/>
        </w:numPr>
        <w:spacing w:after="60"/>
      </w:pPr>
      <w:r>
        <w:t xml:space="preserve">Cure: Bond strength develops in 4–6 hours; allow 24 hours at room temperature for full strength before heavy handling.</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Best for</w:t>
            </w:r>
          </w:p>
        </w:tc>
        <w:tc>
          <w:tcPr>
            <w:tcW w:type="dxa" w:w="6000"/>
          </w:tcPr>
          <w:p>
            <w:r>
              <w:rPr>
                <w:b w:val="false"/>
                <w:bCs w:val="false"/>
              </w:rPr>
              <w:t xml:space="preserve">PVC sheet, acrylic laminate, PVC edge-banding strips/tapes</w:t>
            </w:r>
          </w:p>
        </w:tc>
      </w:tr>
      <w:tr>
        <w:tc>
          <w:tcPr>
            <w:tcW w:type="dxa" w:w="3000"/>
            <w:shd w:fill="F2E5E7" w:val="clear"/>
          </w:tcPr>
          <w:p>
            <w:r>
              <w:rPr>
                <w:b/>
                <w:bCs/>
              </w:rPr>
              <w:t xml:space="preserve">Appearance</w:t>
            </w:r>
          </w:p>
        </w:tc>
        <w:tc>
          <w:tcPr>
            <w:tcW w:type="dxa" w:w="6000"/>
          </w:tcPr>
          <w:p>
            <w:r>
              <w:rPr>
                <w:b w:val="false"/>
                <w:bCs w:val="false"/>
              </w:rPr>
              <w:t xml:space="preserve">Milky white emulsion</w:t>
            </w:r>
          </w:p>
        </w:tc>
      </w:tr>
      <w:tr>
        <w:tc>
          <w:tcPr>
            <w:tcW w:type="dxa" w:w="3000"/>
            <w:shd w:fill="F2E5E7" w:val="clear"/>
          </w:tcPr>
          <w:p>
            <w:r>
              <w:rPr>
                <w:b/>
                <w:bCs/>
              </w:rPr>
              <w:t xml:space="preserve">Viscosity (30°C)</w:t>
            </w:r>
          </w:p>
        </w:tc>
        <w:tc>
          <w:tcPr>
            <w:tcW w:type="dxa" w:w="6000"/>
          </w:tcPr>
          <w:p>
            <w:r>
              <w:rPr>
                <w:b w:val="false"/>
                <w:bCs w:val="false"/>
              </w:rPr>
              <w:t xml:space="preserve">35–80 Poise</w:t>
            </w:r>
          </w:p>
        </w:tc>
      </w:tr>
      <w:tr>
        <w:tc>
          <w:tcPr>
            <w:tcW w:type="dxa" w:w="3000"/>
            <w:shd w:fill="F2E5E7" w:val="clear"/>
          </w:tcPr>
          <w:p>
            <w:r>
              <w:rPr>
                <w:b/>
                <w:bCs/>
              </w:rPr>
              <w:t xml:space="preserve">Bond strength time</w:t>
            </w:r>
          </w:p>
        </w:tc>
        <w:tc>
          <w:tcPr>
            <w:tcW w:type="dxa" w:w="6000"/>
          </w:tcPr>
          <w:p>
            <w:r>
              <w:rPr>
                <w:b w:val="false"/>
                <w:bCs w:val="false"/>
              </w:rPr>
              <w:t xml:space="preserve">4–6 hours</w:t>
            </w:r>
          </w:p>
        </w:tc>
      </w:tr>
      <w:tr>
        <w:tc>
          <w:tcPr>
            <w:tcW w:type="dxa" w:w="3000"/>
            <w:shd w:fill="F2E5E7" w:val="clear"/>
          </w:tcPr>
          <w:p>
            <w:r>
              <w:rPr>
                <w:b/>
                <w:bCs/>
              </w:rPr>
              <w:t xml:space="preserve">Full strength</w:t>
            </w:r>
          </w:p>
        </w:tc>
        <w:tc>
          <w:tcPr>
            <w:tcW w:type="dxa" w:w="6000"/>
          </w:tcPr>
          <w:p>
            <w:r>
              <w:rPr>
                <w:b w:val="false"/>
                <w:bCs w:val="false"/>
              </w:rPr>
              <w:t xml:space="preserve">24 hours at room temperature</w:t>
            </w:r>
          </w:p>
        </w:tc>
      </w:tr>
      <w:tr>
        <w:tc>
          <w:tcPr>
            <w:tcW w:type="dxa" w:w="3000"/>
            <w:shd w:fill="F2E5E7" w:val="clear"/>
          </w:tcPr>
          <w:p>
            <w:r>
              <w:rPr>
                <w:b/>
                <w:bCs/>
              </w:rPr>
              <w:t xml:space="preserve">Certification</w:t>
            </w:r>
          </w:p>
        </w:tc>
        <w:tc>
          <w:tcPr>
            <w:tcW w:type="dxa" w:w="6000"/>
          </w:tcPr>
          <w:p>
            <w:r>
              <w:rPr>
                <w:b w:val="false"/>
                <w:bCs w:val="false"/>
              </w:rPr>
              <w:t xml:space="preserve">GreenPro certified</w:t>
            </w:r>
          </w:p>
        </w:tc>
      </w:tr>
      <w:tr>
        <w:tc>
          <w:tcPr>
            <w:tcW w:type="dxa" w:w="3000"/>
            <w:shd w:fill="F2E5E7" w:val="clear"/>
          </w:tcPr>
          <w:p>
            <w:r>
              <w:rPr>
                <w:b/>
                <w:bCs/>
              </w:rPr>
              <w:t xml:space="preserve">Pack sizes</w:t>
            </w:r>
          </w:p>
        </w:tc>
        <w:tc>
          <w:tcPr>
            <w:tcW w:type="dxa" w:w="6000"/>
          </w:tcPr>
          <w:p>
            <w:r>
              <w:rPr>
                <w:b w:val="false"/>
                <w:bCs w:val="false"/>
              </w:rPr>
              <w:t xml:space="preserve">500 g, 1 kg, 5 kg, 10 kg</w:t>
            </w:r>
          </w:p>
        </w:tc>
      </w:tr>
    </w:tbl>
    <w:p>
      <w:pPr>
        <w:pStyle w:val="Heading2"/>
        <w:spacing w:after="100" w:before="260"/>
      </w:pPr>
      <w:r>
        <w:t xml:space="preserve">Frequently Asked Questions</w:t>
      </w:r>
    </w:p>
    <w:p>
      <w:pPr>
        <w:spacing w:after="40" w:before="140"/>
      </w:pPr>
      <w:r>
        <w:rPr>
          <w:b/>
          <w:bCs/>
        </w:rPr>
        <w:t xml:space="preserve">Can I use Fevicol SH instead of Pro Bond for PVC sheet?</w:t>
      </w:r>
    </w:p>
    <w:p>
      <w:pPr>
        <w:spacing w:after="100"/>
      </w:pPr>
      <w:r>
        <w:t xml:space="preserve">No — Fevicol SH is formulated for wood-to-wood bonding and won't grip non-porous PVC or acrylic reliably. Pro Bond is purpose-built for these surfaces.</w:t>
      </w:r>
    </w:p>
    <w:p>
      <w:pPr>
        <w:spacing w:after="40" w:before="140"/>
      </w:pPr>
      <w:r>
        <w:rPr>
          <w:b/>
          <w:bCs/>
        </w:rPr>
        <w:t xml:space="preserve">Do I need an edge-banding machine to use Pro Bond?</w:t>
      </w:r>
    </w:p>
    <w:p>
      <w:pPr>
        <w:spacing w:after="100"/>
      </w:pPr>
      <w:r>
        <w:t xml:space="preserve">No — one of Pro Bond's key strengths is enabling manual PVC edge-banding, so small workshops can apply PVC strips without investing in machinery.</w:t>
      </w:r>
    </w:p>
    <w:p>
      <w:pPr>
        <w:spacing w:after="40" w:before="140"/>
      </w:pPr>
      <w:r>
        <w:rPr>
          <w:b/>
          <w:bCs/>
        </w:rPr>
        <w:t xml:space="preserve">How long until the bonded panel can be handled normally?</w:t>
      </w:r>
    </w:p>
    <w:p>
      <w:pPr>
        <w:spacing w:after="100"/>
      </w:pPr>
      <w:r>
        <w:t xml:space="preserve">Bond strength develops within 4–6 hours, with full strength reached at 24 hours at room temperature — avoid heavy handling before that.</w:t>
      </w:r>
    </w:p>
    <w:p>
      <w:pPr>
        <w:spacing w:after="40" w:before="140"/>
      </w:pPr>
      <w:r>
        <w:rPr>
          <w:b/>
          <w:bCs/>
        </w:rPr>
        <w:t xml:space="preserve">Is Fevicol Pro Bond heat resistant?</w:t>
      </w:r>
    </w:p>
    <w:p>
      <w:pPr>
        <w:spacing w:after="100"/>
      </w:pPr>
      <w:r>
        <w:t xml:space="preserve">Yes, it offers heat and moisture resistance suited to kitchen and wardrobe environments, though for extreme heat exposure near hobs, dedicated heat-resistant adhesives may be preferable.</w:t>
      </w:r>
    </w:p>
    <w:p>
      <w:pPr>
        <w:spacing w:after="40" w:before="140"/>
      </w:pPr>
      <w:r>
        <w:rPr>
          <w:b/>
          <w:bCs/>
        </w:rPr>
        <w:t xml:space="preserve">What pack size should a small carpentry workshop start with?</w:t>
      </w:r>
    </w:p>
    <w:p>
      <w:pPr>
        <w:spacing w:after="100"/>
      </w:pPr>
      <w:r>
        <w:t xml:space="preserve">500 g or 1 kg is ideal for testing and small jobs; 5 kg and 10 kg packs suit regular PVC/acrylic lamination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2026-08-02T10:26:27.398Z</dcterms:created>
  <dcterms:modified xsi:type="dcterms:W3CDTF">2026-08-02T10:26:27.399Z</dcterms:modified>
</cp:coreProperties>
</file>

<file path=docProps/custom.xml><?xml version="1.0" encoding="utf-8"?>
<Properties xmlns="http://schemas.openxmlformats.org/officeDocument/2006/custom-properties" xmlns:vt="http://schemas.openxmlformats.org/officeDocument/2006/docPropsVTypes"/>
</file>