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after="400"/>
      </w:pPr>
      <w:r>
        <w:rPr>
          <w:rFonts w:ascii="Lato" w:hAnsi="Lato"/>
          <w:b/>
          <w:color w:val="112938"/>
          <w:sz w:val="94"/>
        </w:rPr>
        <w:t>C1V1C</w:t>
      </w:r>
    </w:p>
    <w:p>
      <w:pPr>
        <w:spacing w:after="240"/>
      </w:pPr>
      <w:r>
        <w:rPr>
          <w:rFonts w:ascii="Lato" w:hAnsi="Lato"/>
          <w:b/>
          <w:color w:val="0F7671"/>
          <w:sz w:val="46"/>
        </w:rPr>
        <w:t>TULABHARA AI</w:t>
      </w:r>
    </w:p>
    <w:p>
      <w:pPr>
        <w:pStyle w:val="Subtitle"/>
        <w:spacing w:after="640"/>
      </w:pPr>
      <w:r>
        <w:t>Balancing the Future of Cities.</w:t>
      </w:r>
    </w:p>
    <w:p>
      <w:r>
        <w:rPr>
          <w:b/>
          <w:color w:val="112938"/>
          <w:sz w:val="23"/>
        </w:rPr>
        <w:t>COMPLETE PROJECT DEVELOPMENT MASTER PLAN</w:t>
      </w:r>
    </w:p>
    <w:p>
      <w:pPr>
        <w:pStyle w:val="Subtitle"/>
        <w:spacing w:after="440"/>
      </w:pPr>
      <w:r>
        <w:t>Sustainable Development  |  AI-Driven Urban Sustainability Decision Engine</w:t>
      </w:r>
    </w:p>
    <w:tbl>
      <w:tblPr>
        <w:tblW w:type="auto" w:w="0"/>
        <w:tblLook w:firstColumn="1" w:firstRow="1" w:lastColumn="0" w:lastRow="0" w:noHBand="0" w:noVBand="1" w:val="04A0"/>
      </w:tblPr>
      <w:tblGrid>
        <w:gridCol w:w="9749"/>
      </w:tblGrid>
      <w:tr>
        <w:tc>
          <w:tcPr>
            <w:tcW w:type="dxa" w:w="9749"/>
            <w:shd w:fill="EAF5F3"/>
            <w:tcMar>
              <w:top w:w="120" w:type="dxa"/>
              <w:start w:w="150" w:type="dxa"/>
              <w:bottom w:w="110" w:type="dxa"/>
              <w:end w:w="150" w:type="dxa"/>
            </w:tcMar>
          </w:tcPr>
          <w:p>
            <w:pPr>
              <w:spacing w:after="80"/>
            </w:pPr>
            <w:r>
              <w:rPr>
                <w:b/>
                <w:color w:val="0F7671"/>
                <w:sz w:val="16"/>
              </w:rPr>
              <w:t>PRODUCT THESIS</w:t>
            </w:r>
          </w:p>
          <w:p>
            <w:pPr>
              <w:spacing w:after="0"/>
            </w:pPr>
            <w:r>
              <w:rPr>
                <w:sz w:val="18"/>
              </w:rPr>
              <w:t>Recommend where a city should invest, which interventions to combine, how benefits and costs are distributed, and whether the plan remains feasible when rainfall, drought or budgets change.</w:t>
            </w:r>
          </w:p>
        </w:tc>
      </w:tr>
    </w:tbl>
    <w:p>
      <w:pPr>
        <w:spacing w:after="20"/>
      </w:pPr>
    </w:p>
    <w:p>
      <w:pPr>
        <w:spacing w:before="480"/>
      </w:pPr>
    </w:p>
    <w:p>
      <w:pPr>
        <w:spacing w:after="60"/>
      </w:pPr>
      <w:r>
        <w:rPr>
          <w:b/>
          <w:color w:val="0C3E4A"/>
        </w:rPr>
        <w:t xml:space="preserve">Version  </w:t>
      </w:r>
      <w:r>
        <w:t>2.0 — standalone implementation master specification</w:t>
      </w:r>
    </w:p>
    <w:p>
      <w:pPr>
        <w:spacing w:after="60"/>
      </w:pPr>
      <w:r>
        <w:rPr>
          <w:b/>
          <w:color w:val="0C3E4A"/>
        </w:rPr>
        <w:t xml:space="preserve">Prepared  </w:t>
      </w:r>
      <w:r>
        <w:t>23 October 2026</w:t>
      </w:r>
    </w:p>
    <w:p>
      <w:pPr>
        <w:spacing w:after="60"/>
      </w:pPr>
      <w:r>
        <w:rPr>
          <w:b/>
          <w:color w:val="0C3E4A"/>
        </w:rPr>
        <w:t xml:space="preserve">Build window  </w:t>
      </w:r>
      <w:r>
        <w:t>24 hours; official event timeline 23–24 October 2026</w:t>
      </w:r>
    </w:p>
    <w:p>
      <w:pPr>
        <w:spacing w:after="60"/>
      </w:pPr>
      <w:r>
        <w:rPr>
          <w:b/>
          <w:color w:val="0C3E4A"/>
        </w:rPr>
        <w:t xml:space="preserve">Pilot geography  </w:t>
      </w:r>
      <w:r>
        <w:t>Bengaluru / Yelahanka sub-catchment (pending final data validation)</w:t>
      </w:r>
    </w:p>
    <w:p>
      <w:pPr>
        <w:spacing w:after="60"/>
      </w:pPr>
      <w:r>
        <w:rPr>
          <w:b/>
          <w:color w:val="0C3E4A"/>
        </w:rPr>
        <w:t xml:space="preserve">Target team  </w:t>
      </w:r>
      <w:r>
        <w:t>Four members; Anish as systems and integration lead</w:t>
      </w:r>
    </w:p>
    <w:p>
      <w:pPr>
        <w:spacing w:after="60"/>
      </w:pPr>
      <w:r>
        <w:rPr>
          <w:b/>
          <w:color w:val="0C3E4A"/>
        </w:rPr>
        <w:t xml:space="preserve">Primary workflow  </w:t>
      </w:r>
      <w:r>
        <w:t>Codex Astra + Python + GitHub; AWS S3 and optional Bedrock</w:t>
      </w:r>
    </w:p>
    <w:p>
      <w:pPr>
        <w:pStyle w:val="SmallCaption"/>
        <w:spacing w:before="520"/>
      </w:pPr>
      <w:r>
        <w:t>Planning and demonstration estimates are not municipal engineering advice or validated flood forecasts. All assumptions must be disclosed.</w:t>
      </w:r>
    </w:p>
    <w:p>
      <w:r>
        <w:br w:type="page"/>
      </w:r>
    </w:p>
    <w:p>
      <w:pPr>
        <w:pStyle w:val="Heading1"/>
      </w:pPr>
      <w:r>
        <w:t>Document map and decisions</w:t>
      </w:r>
    </w:p>
    <w:p>
      <w:r>
        <w:t>This is a self-contained execution master specification. It translates the supplied Sustainable Development DOCX and research-informed architecture blueprint into exact data contracts, physical-model rules, optimisation mathematics, test fixtures, cloud setup, time-boxed tasks and judging criteria. It does not imply that software or datasets have already been built, acquired or validated.</w:t>
      </w:r>
    </w:p>
    <w:p>
      <w:pPr>
        <w:spacing w:after="80"/>
      </w:pPr>
      <w:r>
        <w:rPr>
          <w:b/>
          <w:color w:val="0F7671"/>
          <w:sz w:val="16"/>
        </w:rPr>
        <w:t>READ IN THIS ORDER</w:t>
      </w:r>
    </w:p>
    <w:tbl>
      <w:tblPr>
        <w:tblW w:type="auto" w:w="0"/>
        <w:jc w:val="center"/>
        <w:tblLayout w:type="fixed"/>
        <w:tblLook w:firstColumn="1" w:firstRow="1" w:lastColumn="0" w:lastRow="0" w:noHBand="0" w:noVBand="1" w:val="04A0"/>
      </w:tblPr>
      <w:tblGrid>
        <w:gridCol w:w="1181"/>
        <w:gridCol w:w="8640"/>
      </w:tblGrid>
      <w:tr>
        <w:trPr>
          <w:tblHeader w:val="true"/>
          <w:cantSplit/>
        </w:trPr>
        <w:tc>
          <w:tcPr>
            <w:tcW w:type="dxa" w:w="1181"/>
            <w:shd w:fill="143A49"/>
            <w:tcMar>
              <w:top w:w="85" w:type="dxa"/>
              <w:start w:w="85" w:type="dxa"/>
              <w:bottom w:w="85" w:type="dxa"/>
              <w:end w:w="85" w:type="dxa"/>
            </w:tcMar>
          </w:tcPr>
          <w:p>
            <w:pPr>
              <w:spacing w:after="0"/>
            </w:pPr>
            <w:r>
              <w:rPr>
                <w:rFonts w:ascii="Lato" w:hAnsi="Lato"/>
                <w:b/>
                <w:color w:val="FFFFFF"/>
                <w:sz w:val="16"/>
              </w:rPr>
              <w:t>Part</w:t>
            </w:r>
          </w:p>
        </w:tc>
        <w:tc>
          <w:tcPr>
            <w:tcW w:type="dxa" w:w="8640"/>
            <w:shd w:fill="143A49"/>
            <w:tcMar>
              <w:top w:w="85" w:type="dxa"/>
              <w:start w:w="85" w:type="dxa"/>
              <w:bottom w:w="85" w:type="dxa"/>
              <w:end w:w="85" w:type="dxa"/>
            </w:tcMar>
          </w:tcPr>
          <w:p>
            <w:pPr>
              <w:spacing w:after="0"/>
            </w:pPr>
            <w:r>
              <w:rPr>
                <w:rFonts w:ascii="Lato" w:hAnsi="Lato"/>
                <w:b/>
                <w:color w:val="FFFFFF"/>
                <w:sz w:val="16"/>
              </w:rPr>
              <w:t>What it resolves</w:t>
            </w:r>
          </w:p>
        </w:tc>
      </w:tr>
      <w:tr>
        <w:trPr>
          <w:cantSplit/>
        </w:trPr>
        <w:tc>
          <w:tcPr>
            <w:tcW w:type="dxa" w:w="1181"/>
            <w:vAlign w:val="center"/>
            <w:tcMar>
              <w:top w:w="65" w:type="dxa"/>
              <w:start w:w="75" w:type="dxa"/>
              <w:bottom w:w="65" w:type="dxa"/>
              <w:end w:w="75" w:type="dxa"/>
            </w:tcMar>
          </w:tcPr>
          <w:p>
            <w:pPr>
              <w:spacing w:after="0" w:line="259" w:lineRule="auto"/>
            </w:pPr>
            <w:r>
              <w:rPr>
                <w:rFonts w:ascii="Lato" w:hAnsi="Lato"/>
                <w:color w:val="202D33"/>
                <w:sz w:val="16"/>
              </w:rPr>
              <w:t>1–2</w:t>
            </w:r>
          </w:p>
        </w:tc>
        <w:tc>
          <w:tcPr>
            <w:tcW w:type="dxa" w:w="8640"/>
            <w:vAlign w:val="center"/>
            <w:tcMar>
              <w:top w:w="65" w:type="dxa"/>
              <w:start w:w="75" w:type="dxa"/>
              <w:bottom w:w="65" w:type="dxa"/>
              <w:end w:w="75" w:type="dxa"/>
            </w:tcMar>
          </w:tcPr>
          <w:p>
            <w:pPr>
              <w:spacing w:after="0" w:line="259" w:lineRule="auto"/>
            </w:pPr>
            <w:r>
              <w:rPr>
                <w:rFonts w:ascii="Lato" w:hAnsi="Lato"/>
                <w:color w:val="202D33"/>
                <w:sz w:val="16"/>
              </w:rPr>
              <w:t>Official requirements, product purpose, scope and success criteria</w:t>
            </w:r>
          </w:p>
        </w:tc>
      </w:tr>
      <w:tr>
        <w:trPr>
          <w:cantSplit/>
        </w:trPr>
        <w:tc>
          <w:tcPr>
            <w:tcW w:type="dxa" w:w="1181"/>
            <w:vAlign w:val="center"/>
            <w:tcMar>
              <w:top w:w="65" w:type="dxa"/>
              <w:start w:w="75" w:type="dxa"/>
              <w:bottom w:w="65" w:type="dxa"/>
              <w:end w:w="75" w:type="dxa"/>
            </w:tcMar>
            <w:shd w:fill="F0F5F5"/>
          </w:tcPr>
          <w:p>
            <w:pPr>
              <w:spacing w:after="0" w:line="259" w:lineRule="auto"/>
            </w:pPr>
            <w:r>
              <w:rPr>
                <w:rFonts w:ascii="Lato" w:hAnsi="Lato"/>
                <w:color w:val="202D33"/>
                <w:sz w:val="16"/>
              </w:rPr>
              <w:t>3–5</w:t>
            </w:r>
          </w:p>
        </w:tc>
        <w:tc>
          <w:tcPr>
            <w:tcW w:type="dxa" w:w="8640"/>
            <w:vAlign w:val="center"/>
            <w:tcMar>
              <w:top w:w="65" w:type="dxa"/>
              <w:start w:w="75" w:type="dxa"/>
              <w:bottom w:w="65" w:type="dxa"/>
              <w:end w:w="75" w:type="dxa"/>
            </w:tcMar>
            <w:shd w:fill="F0F5F5"/>
          </w:tcPr>
          <w:p>
            <w:pPr>
              <w:spacing w:after="0" w:line="259" w:lineRule="auto"/>
            </w:pPr>
            <w:r>
              <w:rPr>
                <w:rFonts w:ascii="Lato" w:hAnsi="Lato"/>
                <w:color w:val="202D33"/>
                <w:sz w:val="16"/>
              </w:rPr>
              <w:t>Study area, curated data plan, full physical models and MILP formulation</w:t>
            </w:r>
          </w:p>
        </w:tc>
      </w:tr>
      <w:tr>
        <w:trPr>
          <w:cantSplit/>
        </w:trPr>
        <w:tc>
          <w:tcPr>
            <w:tcW w:type="dxa" w:w="1181"/>
            <w:vAlign w:val="center"/>
            <w:tcMar>
              <w:top w:w="65" w:type="dxa"/>
              <w:start w:w="75" w:type="dxa"/>
              <w:bottom w:w="65" w:type="dxa"/>
              <w:end w:w="75" w:type="dxa"/>
            </w:tcMar>
          </w:tcPr>
          <w:p>
            <w:pPr>
              <w:spacing w:after="0" w:line="259" w:lineRule="auto"/>
            </w:pPr>
            <w:r>
              <w:rPr>
                <w:rFonts w:ascii="Lato" w:hAnsi="Lato"/>
                <w:color w:val="202D33"/>
                <w:sz w:val="16"/>
              </w:rPr>
              <w:t>6–8</w:t>
            </w:r>
          </w:p>
        </w:tc>
        <w:tc>
          <w:tcPr>
            <w:tcW w:type="dxa" w:w="8640"/>
            <w:vAlign w:val="center"/>
            <w:tcMar>
              <w:top w:w="65" w:type="dxa"/>
              <w:start w:w="75" w:type="dxa"/>
              <w:bottom w:w="65" w:type="dxa"/>
              <w:end w:w="75" w:type="dxa"/>
            </w:tcMar>
          </w:tcPr>
          <w:p>
            <w:pPr>
              <w:spacing w:after="0" w:line="259" w:lineRule="auto"/>
            </w:pPr>
            <w:r>
              <w:rPr>
                <w:rFonts w:ascii="Lato" w:hAnsi="Lato"/>
                <w:color w:val="202D33"/>
                <w:sz w:val="16"/>
              </w:rPr>
              <w:t>Scenario engine, user experience, explainability and saved runs</w:t>
            </w:r>
          </w:p>
        </w:tc>
      </w:tr>
      <w:tr>
        <w:trPr>
          <w:cantSplit/>
        </w:trPr>
        <w:tc>
          <w:tcPr>
            <w:tcW w:type="dxa" w:w="1181"/>
            <w:vAlign w:val="center"/>
            <w:tcMar>
              <w:top w:w="65" w:type="dxa"/>
              <w:start w:w="75" w:type="dxa"/>
              <w:bottom w:w="65" w:type="dxa"/>
              <w:end w:w="75" w:type="dxa"/>
            </w:tcMar>
            <w:shd w:fill="F0F5F5"/>
          </w:tcPr>
          <w:p>
            <w:pPr>
              <w:spacing w:after="0" w:line="259" w:lineRule="auto"/>
            </w:pPr>
            <w:r>
              <w:rPr>
                <w:rFonts w:ascii="Lato" w:hAnsi="Lato"/>
                <w:color w:val="202D33"/>
                <w:sz w:val="16"/>
              </w:rPr>
              <w:t>9–11</w:t>
            </w:r>
          </w:p>
        </w:tc>
        <w:tc>
          <w:tcPr>
            <w:tcW w:type="dxa" w:w="8640"/>
            <w:vAlign w:val="center"/>
            <w:tcMar>
              <w:top w:w="65" w:type="dxa"/>
              <w:start w:w="75" w:type="dxa"/>
              <w:bottom w:w="65" w:type="dxa"/>
              <w:end w:w="75" w:type="dxa"/>
            </w:tcMar>
            <w:shd w:fill="F0F5F5"/>
          </w:tcPr>
          <w:p>
            <w:pPr>
              <w:spacing w:after="0" w:line="259" w:lineRule="auto"/>
            </w:pPr>
            <w:r>
              <w:rPr>
                <w:rFonts w:ascii="Lato" w:hAnsi="Lato"/>
                <w:color w:val="202D33"/>
                <w:sz w:val="16"/>
              </w:rPr>
              <w:t>AWS and technical architecture, repository, development workflow</w:t>
            </w:r>
          </w:p>
        </w:tc>
      </w:tr>
      <w:tr>
        <w:trPr>
          <w:cantSplit/>
        </w:trPr>
        <w:tc>
          <w:tcPr>
            <w:tcW w:type="dxa" w:w="1181"/>
            <w:vAlign w:val="center"/>
            <w:tcMar>
              <w:top w:w="65" w:type="dxa"/>
              <w:start w:w="75" w:type="dxa"/>
              <w:bottom w:w="65" w:type="dxa"/>
              <w:end w:w="75" w:type="dxa"/>
            </w:tcMar>
          </w:tcPr>
          <w:p>
            <w:pPr>
              <w:spacing w:after="0" w:line="259" w:lineRule="auto"/>
            </w:pPr>
            <w:r>
              <w:rPr>
                <w:rFonts w:ascii="Lato" w:hAnsi="Lato"/>
                <w:color w:val="202D33"/>
                <w:sz w:val="16"/>
              </w:rPr>
              <w:t>12–15</w:t>
            </w:r>
          </w:p>
        </w:tc>
        <w:tc>
          <w:tcPr>
            <w:tcW w:type="dxa" w:w="8640"/>
            <w:vAlign w:val="center"/>
            <w:tcMar>
              <w:top w:w="65" w:type="dxa"/>
              <w:start w:w="75" w:type="dxa"/>
              <w:bottom w:w="65" w:type="dxa"/>
              <w:end w:w="75" w:type="dxa"/>
            </w:tcMar>
          </w:tcPr>
          <w:p>
            <w:pPr>
              <w:spacing w:after="0" w:line="259" w:lineRule="auto"/>
            </w:pPr>
            <w:r>
              <w:rPr>
                <w:rFonts w:ascii="Lato" w:hAnsi="Lato"/>
                <w:color w:val="202D33"/>
                <w:sz w:val="16"/>
              </w:rPr>
              <w:t>24-hour execution plan, exact test fixtures, demo, risks and release gates</w:t>
            </w:r>
          </w:p>
        </w:tc>
      </w:tr>
      <w:tr>
        <w:trPr>
          <w:cantSplit/>
        </w:trPr>
        <w:tc>
          <w:tcPr>
            <w:tcW w:type="dxa" w:w="1181"/>
            <w:vAlign w:val="center"/>
            <w:tcMar>
              <w:top w:w="65" w:type="dxa"/>
              <w:start w:w="75" w:type="dxa"/>
              <w:bottom w:w="65" w:type="dxa"/>
              <w:end w:w="75" w:type="dxa"/>
            </w:tcMar>
            <w:shd w:fill="F0F5F5"/>
          </w:tcPr>
          <w:p>
            <w:pPr>
              <w:spacing w:after="0" w:line="259" w:lineRule="auto"/>
            </w:pPr>
            <w:r>
              <w:rPr>
                <w:rFonts w:ascii="Lato" w:hAnsi="Lato"/>
                <w:color w:val="202D33"/>
                <w:sz w:val="16"/>
              </w:rPr>
              <w:t>Appendices</w:t>
            </w:r>
          </w:p>
        </w:tc>
        <w:tc>
          <w:tcPr>
            <w:tcW w:type="dxa" w:w="8640"/>
            <w:vAlign w:val="center"/>
            <w:tcMar>
              <w:top w:w="65" w:type="dxa"/>
              <w:start w:w="75" w:type="dxa"/>
              <w:bottom w:w="65" w:type="dxa"/>
              <w:end w:w="75" w:type="dxa"/>
            </w:tcMar>
            <w:shd w:fill="F0F5F5"/>
          </w:tcPr>
          <w:p>
            <w:pPr>
              <w:spacing w:after="0" w:line="259" w:lineRule="auto"/>
            </w:pPr>
            <w:r>
              <w:rPr>
                <w:rFonts w:ascii="Lato" w:hAnsi="Lato"/>
                <w:color w:val="202D33"/>
                <w:sz w:val="16"/>
              </w:rPr>
              <w:t>Field dictionary, typed contracts, decision gates, research matrix and cited sources</w:t>
            </w:r>
          </w:p>
        </w:tc>
      </w:tr>
    </w:tbl>
    <w:p>
      <w:pPr>
        <w:spacing w:after="40"/>
      </w:pPr>
    </w:p>
    <w:p>
      <w:pPr>
        <w:pStyle w:val="Heading2"/>
      </w:pPr>
      <w:r>
        <w:t>Decisions already locked</w:t>
      </w:r>
    </w:p>
    <w:tbl>
      <w:tblPr>
        <w:tblW w:type="auto" w:w="0"/>
        <w:jc w:val="center"/>
        <w:tblLayout w:type="fixed"/>
        <w:tblLook w:firstColumn="1" w:firstRow="1" w:lastColumn="0" w:lastRow="0" w:noHBand="0" w:noVBand="1" w:val="04A0"/>
      </w:tblPr>
      <w:tblGrid>
        <w:gridCol w:w="2347"/>
        <w:gridCol w:w="7488"/>
      </w:tblGrid>
      <w:tr>
        <w:trPr>
          <w:tblHeader w:val="true"/>
          <w:cantSplit/>
        </w:trPr>
        <w:tc>
          <w:tcPr>
            <w:tcW w:type="dxa" w:w="2347"/>
            <w:shd w:fill="143A49"/>
            <w:tcMar>
              <w:top w:w="85" w:type="dxa"/>
              <w:start w:w="85" w:type="dxa"/>
              <w:bottom w:w="85" w:type="dxa"/>
              <w:end w:w="85" w:type="dxa"/>
            </w:tcMar>
          </w:tcPr>
          <w:p>
            <w:pPr>
              <w:spacing w:after="0"/>
            </w:pPr>
            <w:r>
              <w:rPr>
                <w:rFonts w:ascii="Lato" w:hAnsi="Lato"/>
                <w:b/>
                <w:color w:val="FFFFFF"/>
                <w:sz w:val="16"/>
              </w:rPr>
              <w:t>Decision</w:t>
            </w:r>
          </w:p>
        </w:tc>
        <w:tc>
          <w:tcPr>
            <w:tcW w:type="dxa" w:w="7488"/>
            <w:shd w:fill="143A49"/>
            <w:tcMar>
              <w:top w:w="85" w:type="dxa"/>
              <w:start w:w="85" w:type="dxa"/>
              <w:bottom w:w="85" w:type="dxa"/>
              <w:end w:w="85" w:type="dxa"/>
            </w:tcMar>
          </w:tcPr>
          <w:p>
            <w:pPr>
              <w:spacing w:after="0"/>
            </w:pPr>
            <w:r>
              <w:rPr>
                <w:rFonts w:ascii="Lato" w:hAnsi="Lato"/>
                <w:b/>
                <w:color w:val="FFFFFF"/>
                <w:sz w:val="16"/>
              </w:rPr>
              <w:t>Status / reason</w:t>
            </w:r>
          </w:p>
        </w:tc>
      </w:tr>
      <w:tr>
        <w:trPr>
          <w:cantSplit/>
        </w:trPr>
        <w:tc>
          <w:tcPr>
            <w:tcW w:type="dxa" w:w="2347"/>
            <w:vAlign w:val="center"/>
            <w:tcMar>
              <w:top w:w="65" w:type="dxa"/>
              <w:start w:w="75" w:type="dxa"/>
              <w:bottom w:w="65" w:type="dxa"/>
              <w:end w:w="75" w:type="dxa"/>
            </w:tcMar>
          </w:tcPr>
          <w:p>
            <w:pPr>
              <w:spacing w:after="0" w:line="259" w:lineRule="auto"/>
            </w:pPr>
            <w:r>
              <w:rPr>
                <w:rFonts w:ascii="Lato" w:hAnsi="Lato"/>
                <w:color w:val="202D33"/>
                <w:sz w:val="16"/>
              </w:rPr>
              <w:t>Name</w:t>
            </w:r>
          </w:p>
        </w:tc>
        <w:tc>
          <w:tcPr>
            <w:tcW w:type="dxa" w:w="7488"/>
            <w:vAlign w:val="center"/>
            <w:tcMar>
              <w:top w:w="65" w:type="dxa"/>
              <w:start w:w="75" w:type="dxa"/>
              <w:bottom w:w="65" w:type="dxa"/>
              <w:end w:w="75" w:type="dxa"/>
            </w:tcMar>
          </w:tcPr>
          <w:p>
            <w:pPr>
              <w:spacing w:after="0" w:line="259" w:lineRule="auto"/>
            </w:pPr>
            <w:r>
              <w:rPr>
                <w:rFonts w:ascii="Lato" w:hAnsi="Lato"/>
                <w:color w:val="202D33"/>
                <w:sz w:val="16"/>
              </w:rPr>
              <w:t>C1V1C — Tulabhara AI; spoken as “Civic”; balancing competing urban objectives.</w:t>
            </w:r>
          </w:p>
        </w:tc>
      </w:tr>
      <w:tr>
        <w:trPr>
          <w:cantSplit/>
        </w:trPr>
        <w:tc>
          <w:tcPr>
            <w:tcW w:type="dxa" w:w="2347"/>
            <w:vAlign w:val="center"/>
            <w:tcMar>
              <w:top w:w="65" w:type="dxa"/>
              <w:start w:w="75" w:type="dxa"/>
              <w:bottom w:w="65" w:type="dxa"/>
              <w:end w:w="75" w:type="dxa"/>
            </w:tcMar>
            <w:shd w:fill="F0F5F5"/>
          </w:tcPr>
          <w:p>
            <w:pPr>
              <w:spacing w:after="0" w:line="259" w:lineRule="auto"/>
            </w:pPr>
            <w:r>
              <w:rPr>
                <w:rFonts w:ascii="Lato" w:hAnsi="Lato"/>
                <w:color w:val="202D33"/>
                <w:sz w:val="16"/>
              </w:rPr>
              <w:t>Official five MVP modules</w:t>
            </w:r>
          </w:p>
        </w:tc>
        <w:tc>
          <w:tcPr>
            <w:tcW w:type="dxa" w:w="7488"/>
            <w:vAlign w:val="center"/>
            <w:tcMar>
              <w:top w:w="65" w:type="dxa"/>
              <w:start w:w="75" w:type="dxa"/>
              <w:bottom w:w="65" w:type="dxa"/>
              <w:end w:w="75" w:type="dxa"/>
            </w:tcMar>
            <w:shd w:fill="F0F5F5"/>
          </w:tcPr>
          <w:p>
            <w:pPr>
              <w:spacing w:after="0" w:line="259" w:lineRule="auto"/>
            </w:pPr>
            <w:r>
              <w:rPr>
                <w:rFonts w:ascii="Lato" w:hAnsi="Lato"/>
                <w:color w:val="202D33"/>
                <w:sz w:val="16"/>
              </w:rPr>
              <w:t>All are mandatory and must work together; no substitutions.</w:t>
            </w:r>
          </w:p>
        </w:tc>
      </w:tr>
      <w:tr>
        <w:trPr>
          <w:cantSplit/>
        </w:trPr>
        <w:tc>
          <w:tcPr>
            <w:tcW w:type="dxa" w:w="2347"/>
            <w:vAlign w:val="center"/>
            <w:tcMar>
              <w:top w:w="65" w:type="dxa"/>
              <w:start w:w="75" w:type="dxa"/>
              <w:bottom w:w="65" w:type="dxa"/>
              <w:end w:w="75" w:type="dxa"/>
            </w:tcMar>
          </w:tcPr>
          <w:p>
            <w:pPr>
              <w:spacing w:after="0" w:line="259" w:lineRule="auto"/>
            </w:pPr>
            <w:r>
              <w:rPr>
                <w:rFonts w:ascii="Lato" w:hAnsi="Lato"/>
                <w:color w:val="202D33"/>
                <w:sz w:val="16"/>
              </w:rPr>
              <w:t>Interventions</w:t>
            </w:r>
          </w:p>
        </w:tc>
        <w:tc>
          <w:tcPr>
            <w:tcW w:type="dxa" w:w="7488"/>
            <w:vAlign w:val="center"/>
            <w:tcMar>
              <w:top w:w="65" w:type="dxa"/>
              <w:start w:w="75" w:type="dxa"/>
              <w:bottom w:w="65" w:type="dxa"/>
              <w:end w:w="75" w:type="dxa"/>
            </w:tcMar>
          </w:tcPr>
          <w:p>
            <w:pPr>
              <w:spacing w:after="0" w:line="259" w:lineRule="auto"/>
            </w:pPr>
            <w:r>
              <w:rPr>
                <w:rFonts w:ascii="Lato" w:hAnsi="Lato"/>
                <w:color w:val="202D33"/>
                <w:sz w:val="16"/>
              </w:rPr>
              <w:t>Green roofs, urban forests, rainwater harvesting, drainage improvements.</w:t>
            </w:r>
          </w:p>
        </w:tc>
      </w:tr>
      <w:tr>
        <w:trPr>
          <w:cantSplit/>
        </w:trPr>
        <w:tc>
          <w:tcPr>
            <w:tcW w:type="dxa" w:w="2347"/>
            <w:vAlign w:val="center"/>
            <w:tcMar>
              <w:top w:w="65" w:type="dxa"/>
              <w:start w:w="75" w:type="dxa"/>
              <w:bottom w:w="65" w:type="dxa"/>
              <w:end w:w="75" w:type="dxa"/>
            </w:tcMar>
            <w:shd w:fill="F0F5F5"/>
          </w:tcPr>
          <w:p>
            <w:pPr>
              <w:spacing w:after="0" w:line="259" w:lineRule="auto"/>
            </w:pPr>
            <w:r>
              <w:rPr>
                <w:rFonts w:ascii="Lato" w:hAnsi="Lato"/>
                <w:color w:val="202D33"/>
                <w:sz w:val="16"/>
              </w:rPr>
              <w:t>Prototype scope</w:t>
            </w:r>
          </w:p>
        </w:tc>
        <w:tc>
          <w:tcPr>
            <w:tcW w:type="dxa" w:w="7488"/>
            <w:vAlign w:val="center"/>
            <w:tcMar>
              <w:top w:w="65" w:type="dxa"/>
              <w:start w:w="75" w:type="dxa"/>
              <w:bottom w:w="65" w:type="dxa"/>
              <w:end w:w="75" w:type="dxa"/>
            </w:tcMar>
            <w:shd w:fill="F0F5F5"/>
          </w:tcPr>
          <w:p>
            <w:pPr>
              <w:spacing w:after="0" w:line="259" w:lineRule="auto"/>
            </w:pPr>
            <w:r>
              <w:rPr>
                <w:rFonts w:ascii="Lato" w:hAnsi="Lato"/>
                <w:color w:val="202D33"/>
                <w:sz w:val="16"/>
              </w:rPr>
              <w:t>Three zones and ~12–24 candidate project units, after a one-zone vertical slice.</w:t>
            </w:r>
          </w:p>
        </w:tc>
      </w:tr>
      <w:tr>
        <w:trPr>
          <w:cantSplit/>
        </w:trPr>
        <w:tc>
          <w:tcPr>
            <w:tcW w:type="dxa" w:w="2347"/>
            <w:vAlign w:val="center"/>
            <w:tcMar>
              <w:top w:w="65" w:type="dxa"/>
              <w:start w:w="75" w:type="dxa"/>
              <w:bottom w:w="65" w:type="dxa"/>
              <w:end w:w="75" w:type="dxa"/>
            </w:tcMar>
          </w:tcPr>
          <w:p>
            <w:pPr>
              <w:spacing w:after="0" w:line="259" w:lineRule="auto"/>
            </w:pPr>
            <w:r>
              <w:rPr>
                <w:rFonts w:ascii="Lato" w:hAnsi="Lato"/>
                <w:color w:val="202D33"/>
                <w:sz w:val="16"/>
              </w:rPr>
              <w:t>Optimiser</w:t>
            </w:r>
          </w:p>
        </w:tc>
        <w:tc>
          <w:tcPr>
            <w:tcW w:type="dxa" w:w="7488"/>
            <w:vAlign w:val="center"/>
            <w:tcMar>
              <w:top w:w="65" w:type="dxa"/>
              <w:start w:w="75" w:type="dxa"/>
              <w:bottom w:w="65" w:type="dxa"/>
              <w:end w:w="75" w:type="dxa"/>
            </w:tcMar>
          </w:tcPr>
          <w:p>
            <w:pPr>
              <w:spacing w:after="0" w:line="259" w:lineRule="auto"/>
            </w:pPr>
            <w:r>
              <w:rPr>
                <w:rFonts w:ascii="Lato" w:hAnsi="Lato"/>
                <w:color w:val="202D33"/>
                <w:sz w:val="16"/>
              </w:rPr>
              <w:t>Mixed-integer linear optimisation with hard physical constraints and transparent objective weights.</w:t>
            </w:r>
          </w:p>
        </w:tc>
      </w:tr>
      <w:tr>
        <w:trPr>
          <w:cantSplit/>
        </w:trPr>
        <w:tc>
          <w:tcPr>
            <w:tcW w:type="dxa" w:w="2347"/>
            <w:vAlign w:val="center"/>
            <w:tcMar>
              <w:top w:w="65" w:type="dxa"/>
              <w:start w:w="75" w:type="dxa"/>
              <w:bottom w:w="65" w:type="dxa"/>
              <w:end w:w="75" w:type="dxa"/>
            </w:tcMar>
            <w:shd w:fill="F0F5F5"/>
          </w:tcPr>
          <w:p>
            <w:pPr>
              <w:spacing w:after="0" w:line="259" w:lineRule="auto"/>
            </w:pPr>
            <w:r>
              <w:rPr>
                <w:rFonts w:ascii="Lato" w:hAnsi="Lato"/>
                <w:color w:val="202D33"/>
                <w:sz w:val="16"/>
              </w:rPr>
              <w:t>Compute and UI</w:t>
            </w:r>
          </w:p>
        </w:tc>
        <w:tc>
          <w:tcPr>
            <w:tcW w:type="dxa" w:w="7488"/>
            <w:vAlign w:val="center"/>
            <w:tcMar>
              <w:top w:w="65" w:type="dxa"/>
              <w:start w:w="75" w:type="dxa"/>
              <w:bottom w:w="65" w:type="dxa"/>
              <w:end w:w="75" w:type="dxa"/>
            </w:tcMar>
            <w:shd w:fill="F0F5F5"/>
          </w:tcPr>
          <w:p>
            <w:pPr>
              <w:spacing w:after="0" w:line="259" w:lineRule="auto"/>
            </w:pPr>
            <w:r>
              <w:rPr>
                <w:rFonts w:ascii="Lato" w:hAnsi="Lato"/>
                <w:color w:val="202D33"/>
                <w:sz w:val="16"/>
              </w:rPr>
              <w:t>Python domain engine + Streamlit UI; domain logic independent of interface.</w:t>
            </w:r>
          </w:p>
        </w:tc>
      </w:tr>
      <w:tr>
        <w:trPr>
          <w:cantSplit/>
        </w:trPr>
        <w:tc>
          <w:tcPr>
            <w:tcW w:type="dxa" w:w="2347"/>
            <w:vAlign w:val="center"/>
            <w:tcMar>
              <w:top w:w="65" w:type="dxa"/>
              <w:start w:w="75" w:type="dxa"/>
              <w:bottom w:w="65" w:type="dxa"/>
              <w:end w:w="75" w:type="dxa"/>
            </w:tcMar>
          </w:tcPr>
          <w:p>
            <w:pPr>
              <w:spacing w:after="0" w:line="259" w:lineRule="auto"/>
            </w:pPr>
            <w:r>
              <w:rPr>
                <w:rFonts w:ascii="Lato" w:hAnsi="Lato"/>
                <w:color w:val="202D33"/>
                <w:sz w:val="16"/>
              </w:rPr>
              <w:t>AWS</w:t>
            </w:r>
          </w:p>
        </w:tc>
        <w:tc>
          <w:tcPr>
            <w:tcW w:type="dxa" w:w="7488"/>
            <w:vAlign w:val="center"/>
            <w:tcMar>
              <w:top w:w="65" w:type="dxa"/>
              <w:start w:w="75" w:type="dxa"/>
              <w:bottom w:w="65" w:type="dxa"/>
              <w:end w:w="75" w:type="dxa"/>
            </w:tcMar>
          </w:tcPr>
          <w:p>
            <w:pPr>
              <w:spacing w:after="0" w:line="259" w:lineRule="auto"/>
            </w:pPr>
            <w:r>
              <w:rPr>
                <w:rFonts w:ascii="Lato" w:hAnsi="Lato"/>
                <w:color w:val="202D33"/>
                <w:sz w:val="16"/>
              </w:rPr>
              <w:t>S3 for durable provenance/results; Bedrock for grounded narration only if access is ready.</w:t>
            </w:r>
          </w:p>
        </w:tc>
      </w:tr>
      <w:tr>
        <w:trPr>
          <w:cantSplit/>
        </w:trPr>
        <w:tc>
          <w:tcPr>
            <w:tcW w:type="dxa" w:w="2347"/>
            <w:vAlign w:val="center"/>
            <w:tcMar>
              <w:top w:w="65" w:type="dxa"/>
              <w:start w:w="75" w:type="dxa"/>
              <w:bottom w:w="65" w:type="dxa"/>
              <w:end w:w="75" w:type="dxa"/>
            </w:tcMar>
            <w:shd w:fill="F0F5F5"/>
          </w:tcPr>
          <w:p>
            <w:pPr>
              <w:spacing w:after="0" w:line="259" w:lineRule="auto"/>
            </w:pPr>
            <w:r>
              <w:rPr>
                <w:rFonts w:ascii="Lato" w:hAnsi="Lato"/>
                <w:color w:val="202D33"/>
                <w:sz w:val="16"/>
              </w:rPr>
              <w:t>Non-goals</w:t>
            </w:r>
          </w:p>
        </w:tc>
        <w:tc>
          <w:tcPr>
            <w:tcW w:type="dxa" w:w="7488"/>
            <w:vAlign w:val="center"/>
            <w:tcMar>
              <w:top w:w="65" w:type="dxa"/>
              <w:start w:w="75" w:type="dxa"/>
              <w:bottom w:w="65" w:type="dxa"/>
              <w:end w:w="75" w:type="dxa"/>
            </w:tcMar>
            <w:shd w:fill="F0F5F5"/>
          </w:tcPr>
          <w:p>
            <w:pPr>
              <w:spacing w:after="0" w:line="259" w:lineRule="auto"/>
            </w:pPr>
            <w:r>
              <w:rPr>
                <w:rFonts w:ascii="Lato" w:hAnsi="Lato"/>
                <w:color w:val="202D33"/>
                <w:sz w:val="16"/>
              </w:rPr>
              <w:t>Full hydraulic twin, live municipal integration, CKAN/EKS, trained foundation model, misleading precision.</w:t>
            </w:r>
          </w:p>
        </w:tc>
      </w:tr>
    </w:tbl>
    <w:p>
      <w:pPr>
        <w:spacing w:after="40"/>
      </w:pPr>
    </w:p>
    <w:tbl>
      <w:tblPr>
        <w:tblW w:type="auto" w:w="0"/>
        <w:tblLook w:firstColumn="1" w:firstRow="1" w:lastColumn="0" w:lastRow="0" w:noHBand="0" w:noVBand="1" w:val="04A0"/>
      </w:tblPr>
      <w:tblGrid>
        <w:gridCol w:w="9749"/>
      </w:tblGrid>
      <w:tr>
        <w:tc>
          <w:tcPr>
            <w:tcW w:type="dxa" w:w="9749"/>
            <w:shd w:fill="EAF5F3"/>
            <w:tcMar>
              <w:top w:w="120" w:type="dxa"/>
              <w:start w:w="150" w:type="dxa"/>
              <w:bottom w:w="110" w:type="dxa"/>
              <w:end w:w="150" w:type="dxa"/>
            </w:tcMar>
          </w:tcPr>
          <w:p>
            <w:pPr>
              <w:spacing w:after="80"/>
            </w:pPr>
            <w:r>
              <w:rPr>
                <w:b/>
                <w:color w:val="0F7671"/>
                <w:sz w:val="16"/>
              </w:rPr>
              <w:t>INTERPRETATION RULE</w:t>
            </w:r>
          </w:p>
          <w:p>
            <w:pPr>
              <w:spacing w:after="0"/>
            </w:pPr>
            <w:r>
              <w:rPr>
                <w:sz w:val="18"/>
              </w:rPr>
              <w:t>The original PS names AWS services but does not expressly require deploying all of them. This plan follows every functional MVP requirement and adopts AWS services only where they provide demonstrable value. If hackathon rules impose a minimum AWS usage requirement, verify that rule separately.</w:t>
            </w:r>
          </w:p>
        </w:tc>
      </w:tr>
    </w:tbl>
    <w:p>
      <w:pPr>
        <w:spacing w:after="20"/>
      </w:pPr>
    </w:p>
    <w:p>
      <w:pPr>
        <w:pStyle w:val="Heading1"/>
      </w:pPr>
      <w:r>
        <w:t>1. Official challenge and compliance</w:t>
      </w:r>
    </w:p>
    <w:p>
      <w:pPr>
        <w:pStyle w:val="Heading2"/>
      </w:pPr>
      <w:r>
        <w:t>1.1 Problem in the original brief</w:t>
      </w:r>
    </w:p>
    <w:p>
      <w:r>
        <w:t>Indian cities face interconnected urban heat, flooding, water scarcity and carbon-emissions challenges. Available solutions can conflict, and planners must operate with limited budgets, land availability and uncertain climate conditions. The project must identify intervention combinations while balancing environmental impact, economic feasibility and social equity, adapt to unexpected scenarios, and explain the trade-offs behind its recommendations. [PS]</w:t>
      </w:r>
    </w:p>
    <w:p>
      <w:pPr>
        <w:pStyle w:val="Heading2"/>
      </w:pPr>
      <w:r>
        <w:t>1.2 Exact MVP traceability</w:t>
      </w:r>
    </w:p>
    <w:tbl>
      <w:tblPr>
        <w:tblW w:type="auto" w:w="0"/>
        <w:jc w:val="center"/>
        <w:tblLayout w:type="fixed"/>
        <w:tblLook w:firstColumn="1" w:firstRow="1" w:lastColumn="0" w:lastRow="0" w:noHBand="0" w:noVBand="1" w:val="04A0"/>
      </w:tblPr>
      <w:tblGrid>
        <w:gridCol w:w="1757"/>
        <w:gridCol w:w="4421"/>
        <w:gridCol w:w="3658"/>
      </w:tblGrid>
      <w:tr>
        <w:trPr>
          <w:tblHeader w:val="true"/>
          <w:cantSplit/>
        </w:trPr>
        <w:tc>
          <w:tcPr>
            <w:tcW w:type="dxa" w:w="1757"/>
            <w:shd w:fill="143A49"/>
            <w:tcMar>
              <w:top w:w="85" w:type="dxa"/>
              <w:start w:w="85" w:type="dxa"/>
              <w:bottom w:w="85" w:type="dxa"/>
              <w:end w:w="85" w:type="dxa"/>
            </w:tcMar>
          </w:tcPr>
          <w:p>
            <w:pPr>
              <w:spacing w:after="0"/>
            </w:pPr>
            <w:r>
              <w:rPr>
                <w:rFonts w:ascii="Lato" w:hAnsi="Lato"/>
                <w:b/>
                <w:color w:val="FFFFFF"/>
                <w:sz w:val="15"/>
              </w:rPr>
              <w:t>Official MVP module</w:t>
            </w:r>
          </w:p>
        </w:tc>
        <w:tc>
          <w:tcPr>
            <w:tcW w:type="dxa" w:w="4421"/>
            <w:shd w:fill="143A49"/>
            <w:tcMar>
              <w:top w:w="85" w:type="dxa"/>
              <w:start w:w="85" w:type="dxa"/>
              <w:bottom w:w="85" w:type="dxa"/>
              <w:end w:w="85" w:type="dxa"/>
            </w:tcMar>
          </w:tcPr>
          <w:p>
            <w:pPr>
              <w:spacing w:after="0"/>
            </w:pPr>
            <w:r>
              <w:rPr>
                <w:rFonts w:ascii="Lato" w:hAnsi="Lato"/>
                <w:b/>
                <w:color w:val="FFFFFF"/>
                <w:sz w:val="15"/>
              </w:rPr>
              <w:t>C1V1C implementation</w:t>
            </w:r>
          </w:p>
        </w:tc>
        <w:tc>
          <w:tcPr>
            <w:tcW w:type="dxa" w:w="3658"/>
            <w:shd w:fill="143A49"/>
            <w:tcMar>
              <w:top w:w="85" w:type="dxa"/>
              <w:start w:w="85" w:type="dxa"/>
              <w:bottom w:w="85" w:type="dxa"/>
              <w:end w:w="85" w:type="dxa"/>
            </w:tcMar>
          </w:tcPr>
          <w:p>
            <w:pPr>
              <w:spacing w:after="0"/>
            </w:pPr>
            <w:r>
              <w:rPr>
                <w:rFonts w:ascii="Lato" w:hAnsi="Lato"/>
                <w:b/>
                <w:color w:val="FFFFFF"/>
                <w:sz w:val="15"/>
              </w:rPr>
              <w:t>Acceptance demonstration</w:t>
            </w:r>
          </w:p>
        </w:tc>
      </w:tr>
      <w:tr>
        <w:trPr>
          <w:cantSplit/>
        </w:trPr>
        <w:tc>
          <w:tcPr>
            <w:tcW w:type="dxa" w:w="1757"/>
            <w:vAlign w:val="center"/>
            <w:tcMar>
              <w:top w:w="65" w:type="dxa"/>
              <w:start w:w="75" w:type="dxa"/>
              <w:bottom w:w="65" w:type="dxa"/>
              <w:end w:w="75" w:type="dxa"/>
            </w:tcMar>
          </w:tcPr>
          <w:p>
            <w:pPr>
              <w:spacing w:after="0" w:line="259" w:lineRule="auto"/>
            </w:pPr>
            <w:r>
              <w:rPr>
                <w:rFonts w:ascii="Lato" w:hAnsi="Lato"/>
                <w:color w:val="202D33"/>
                <w:sz w:val="15"/>
              </w:rPr>
              <w:t>Data Engine</w:t>
            </w:r>
          </w:p>
        </w:tc>
        <w:tc>
          <w:tcPr>
            <w:tcW w:type="dxa" w:w="4421"/>
            <w:vAlign w:val="center"/>
            <w:tcMar>
              <w:top w:w="65" w:type="dxa"/>
              <w:start w:w="75" w:type="dxa"/>
              <w:bottom w:w="65" w:type="dxa"/>
              <w:end w:w="75" w:type="dxa"/>
            </w:tcMar>
          </w:tcPr>
          <w:p>
            <w:pPr>
              <w:spacing w:after="0" w:line="259" w:lineRule="auto"/>
            </w:pPr>
            <w:r>
              <w:rPr>
                <w:rFonts w:ascii="Lato" w:hAnsi="Lato"/>
                <w:color w:val="202D33"/>
                <w:sz w:val="15"/>
              </w:rPr>
              <w:t>Validated climate, water, land-use and population layers; site capacities, costs, data coverage and provenance.</w:t>
            </w:r>
          </w:p>
        </w:tc>
        <w:tc>
          <w:tcPr>
            <w:tcW w:type="dxa" w:w="3658"/>
            <w:vAlign w:val="center"/>
            <w:tcMar>
              <w:top w:w="65" w:type="dxa"/>
              <w:start w:w="75" w:type="dxa"/>
              <w:bottom w:w="65" w:type="dxa"/>
              <w:end w:w="75" w:type="dxa"/>
            </w:tcMar>
          </w:tcPr>
          <w:p>
            <w:pPr>
              <w:spacing w:after="0" w:line="259" w:lineRule="auto"/>
            </w:pPr>
            <w:r>
              <w:rPr>
                <w:rFonts w:ascii="Lato" w:hAnsi="Lato"/>
                <w:color w:val="202D33"/>
                <w:sz w:val="15"/>
              </w:rPr>
              <w:t>Select zone; show data values, units, sources and missing-data warnings.</w:t>
            </w:r>
          </w:p>
        </w:tc>
      </w:tr>
      <w:tr>
        <w:trPr>
          <w:cantSplit/>
        </w:trPr>
        <w:tc>
          <w:tcPr>
            <w:tcW w:type="dxa" w:w="1757"/>
            <w:vAlign w:val="center"/>
            <w:tcMar>
              <w:top w:w="65" w:type="dxa"/>
              <w:start w:w="75" w:type="dxa"/>
              <w:bottom w:w="65" w:type="dxa"/>
              <w:end w:w="75" w:type="dxa"/>
            </w:tcMar>
            <w:shd w:fill="F0F5F5"/>
          </w:tcPr>
          <w:p>
            <w:pPr>
              <w:spacing w:after="0" w:line="259" w:lineRule="auto"/>
            </w:pPr>
            <w:r>
              <w:rPr>
                <w:rFonts w:ascii="Lato" w:hAnsi="Lato"/>
                <w:color w:val="202D33"/>
                <w:sz w:val="15"/>
              </w:rPr>
              <w:t>AI Optimisation</w:t>
            </w:r>
          </w:p>
        </w:tc>
        <w:tc>
          <w:tcPr>
            <w:tcW w:type="dxa" w:w="4421"/>
            <w:vAlign w:val="center"/>
            <w:tcMar>
              <w:top w:w="65" w:type="dxa"/>
              <w:start w:w="75" w:type="dxa"/>
              <w:bottom w:w="65" w:type="dxa"/>
              <w:end w:w="75" w:type="dxa"/>
            </w:tcMar>
            <w:shd w:fill="F0F5F5"/>
          </w:tcPr>
          <w:p>
            <w:pPr>
              <w:spacing w:after="0" w:line="259" w:lineRule="auto"/>
            </w:pPr>
            <w:r>
              <w:rPr>
                <w:rFonts w:ascii="Lato" w:hAnsi="Lato"/>
                <w:color w:val="202D33"/>
                <w:sz w:val="15"/>
              </w:rPr>
              <w:t>MILP investment allocation across all four interventions under budget, land, feasibility and equity constraints.</w:t>
            </w:r>
          </w:p>
        </w:tc>
        <w:tc>
          <w:tcPr>
            <w:tcW w:type="dxa" w:w="3658"/>
            <w:vAlign w:val="center"/>
            <w:tcMar>
              <w:top w:w="65" w:type="dxa"/>
              <w:start w:w="75" w:type="dxa"/>
              <w:bottom w:w="65" w:type="dxa"/>
              <w:end w:w="75" w:type="dxa"/>
            </w:tcMar>
            <w:shd w:fill="F0F5F5"/>
          </w:tcPr>
          <w:p>
            <w:pPr>
              <w:spacing w:after="0" w:line="259" w:lineRule="auto"/>
            </w:pPr>
            <w:r>
              <w:rPr>
                <w:rFonts w:ascii="Lato" w:hAnsi="Lato"/>
                <w:color w:val="202D33"/>
                <w:sz w:val="15"/>
              </w:rPr>
              <w:t>Change budget/weights; recompute feasible portfolio and compare alternatives.</w:t>
            </w:r>
          </w:p>
        </w:tc>
      </w:tr>
      <w:tr>
        <w:trPr>
          <w:cantSplit/>
        </w:trPr>
        <w:tc>
          <w:tcPr>
            <w:tcW w:type="dxa" w:w="1757"/>
            <w:vAlign w:val="center"/>
            <w:tcMar>
              <w:top w:w="65" w:type="dxa"/>
              <w:start w:w="75" w:type="dxa"/>
              <w:bottom w:w="65" w:type="dxa"/>
              <w:end w:w="75" w:type="dxa"/>
            </w:tcMar>
          </w:tcPr>
          <w:p>
            <w:pPr>
              <w:spacing w:after="0" w:line="259" w:lineRule="auto"/>
            </w:pPr>
            <w:r>
              <w:rPr>
                <w:rFonts w:ascii="Lato" w:hAnsi="Lato"/>
                <w:color w:val="202D33"/>
                <w:sz w:val="15"/>
              </w:rPr>
              <w:t>Interactive Dashboard</w:t>
            </w:r>
          </w:p>
        </w:tc>
        <w:tc>
          <w:tcPr>
            <w:tcW w:type="dxa" w:w="4421"/>
            <w:vAlign w:val="center"/>
            <w:tcMar>
              <w:top w:w="65" w:type="dxa"/>
              <w:start w:w="75" w:type="dxa"/>
              <w:bottom w:w="65" w:type="dxa"/>
              <w:end w:w="75" w:type="dxa"/>
            </w:tcMar>
          </w:tcPr>
          <w:p>
            <w:pPr>
              <w:spacing w:after="0" w:line="259" w:lineRule="auto"/>
            </w:pPr>
            <w:r>
              <w:rPr>
                <w:rFonts w:ascii="Lato" w:hAnsi="Lato"/>
                <w:color w:val="202D33"/>
                <w:sz w:val="15"/>
              </w:rPr>
              <w:t>Four-tab risk, cost, investment, impact, equity and comparison interface.</w:t>
            </w:r>
          </w:p>
        </w:tc>
        <w:tc>
          <w:tcPr>
            <w:tcW w:type="dxa" w:w="3658"/>
            <w:vAlign w:val="center"/>
            <w:tcMar>
              <w:top w:w="65" w:type="dxa"/>
              <w:start w:w="75" w:type="dxa"/>
              <w:bottom w:w="65" w:type="dxa"/>
              <w:end w:w="75" w:type="dxa"/>
            </w:tcMar>
          </w:tcPr>
          <w:p>
            <w:pPr>
              <w:spacing w:after="0" w:line="259" w:lineRule="auto"/>
            </w:pPr>
            <w:r>
              <w:rPr>
                <w:rFonts w:ascii="Lato" w:hAnsi="Lato"/>
                <w:color w:val="202D33"/>
                <w:sz w:val="15"/>
              </w:rPr>
              <w:t>Show map, intervention allocations, costs and benefits by neighbourhood.</w:t>
            </w:r>
          </w:p>
        </w:tc>
      </w:tr>
      <w:tr>
        <w:trPr>
          <w:cantSplit/>
        </w:trPr>
        <w:tc>
          <w:tcPr>
            <w:tcW w:type="dxa" w:w="1757"/>
            <w:vAlign w:val="center"/>
            <w:tcMar>
              <w:top w:w="65" w:type="dxa"/>
              <w:start w:w="75" w:type="dxa"/>
              <w:bottom w:w="65" w:type="dxa"/>
              <w:end w:w="75" w:type="dxa"/>
            </w:tcMar>
            <w:shd w:fill="F0F5F5"/>
          </w:tcPr>
          <w:p>
            <w:pPr>
              <w:spacing w:after="0" w:line="259" w:lineRule="auto"/>
            </w:pPr>
            <w:r>
              <w:rPr>
                <w:rFonts w:ascii="Lato" w:hAnsi="Lato"/>
                <w:color w:val="202D33"/>
                <w:sz w:val="15"/>
              </w:rPr>
              <w:t>Scenario Simulator</w:t>
            </w:r>
          </w:p>
        </w:tc>
        <w:tc>
          <w:tcPr>
            <w:tcW w:type="dxa" w:w="4421"/>
            <w:vAlign w:val="center"/>
            <w:tcMar>
              <w:top w:w="65" w:type="dxa"/>
              <w:start w:w="75" w:type="dxa"/>
              <w:bottom w:w="65" w:type="dxa"/>
              <w:end w:w="75" w:type="dxa"/>
            </w:tcMar>
            <w:shd w:fill="F0F5F5"/>
          </w:tcPr>
          <w:p>
            <w:pPr>
              <w:spacing w:after="0" w:line="259" w:lineRule="auto"/>
            </w:pPr>
            <w:r>
              <w:rPr>
                <w:rFonts w:ascii="Lato" w:hAnsi="Lato"/>
                <w:color w:val="202D33"/>
                <w:sz w:val="15"/>
              </w:rPr>
              <w:t>Separate drought, extreme rainfall and budget-cut stress cases; old-plan test plus reoptimisation.</w:t>
            </w:r>
          </w:p>
        </w:tc>
        <w:tc>
          <w:tcPr>
            <w:tcW w:type="dxa" w:w="3658"/>
            <w:vAlign w:val="center"/>
            <w:tcMar>
              <w:top w:w="65" w:type="dxa"/>
              <w:start w:w="75" w:type="dxa"/>
              <w:bottom w:w="65" w:type="dxa"/>
              <w:end w:w="75" w:type="dxa"/>
            </w:tcMar>
            <w:shd w:fill="F0F5F5"/>
          </w:tcPr>
          <w:p>
            <w:pPr>
              <w:spacing w:after="0" w:line="259" w:lineRule="auto"/>
            </w:pPr>
            <w:r>
              <w:rPr>
                <w:rFonts w:ascii="Lato" w:hAnsi="Lato"/>
                <w:color w:val="202D33"/>
                <w:sz w:val="15"/>
              </w:rPr>
              <w:t>Run each scenario and compare outputs with the same saved baseline.</w:t>
            </w:r>
          </w:p>
        </w:tc>
      </w:tr>
      <w:tr>
        <w:trPr>
          <w:cantSplit/>
        </w:trPr>
        <w:tc>
          <w:tcPr>
            <w:tcW w:type="dxa" w:w="1757"/>
            <w:vAlign w:val="center"/>
            <w:tcMar>
              <w:top w:w="65" w:type="dxa"/>
              <w:start w:w="75" w:type="dxa"/>
              <w:bottom w:w="65" w:type="dxa"/>
              <w:end w:w="75" w:type="dxa"/>
            </w:tcMar>
          </w:tcPr>
          <w:p>
            <w:pPr>
              <w:spacing w:after="0" w:line="259" w:lineRule="auto"/>
            </w:pPr>
            <w:r>
              <w:rPr>
                <w:rFonts w:ascii="Lato" w:hAnsi="Lato"/>
                <w:color w:val="202D33"/>
                <w:sz w:val="15"/>
              </w:rPr>
              <w:t>Decision Explainer</w:t>
            </w:r>
          </w:p>
        </w:tc>
        <w:tc>
          <w:tcPr>
            <w:tcW w:type="dxa" w:w="4421"/>
            <w:vAlign w:val="center"/>
            <w:tcMar>
              <w:top w:w="65" w:type="dxa"/>
              <w:start w:w="75" w:type="dxa"/>
              <w:bottom w:w="65" w:type="dxa"/>
              <w:end w:w="75" w:type="dxa"/>
            </w:tcMar>
          </w:tcPr>
          <w:p>
            <w:pPr>
              <w:spacing w:after="0" w:line="259" w:lineRule="auto"/>
            </w:pPr>
            <w:r>
              <w:rPr>
                <w:rFonts w:ascii="Lato" w:hAnsi="Lato"/>
                <w:color w:val="202D33"/>
                <w:sz w:val="15"/>
              </w:rPr>
              <w:t>Deterministic numerical reasons, active constraints, uncertainty, rejected options and consequences; optional Bedrock narration.</w:t>
            </w:r>
          </w:p>
        </w:tc>
        <w:tc>
          <w:tcPr>
            <w:tcW w:type="dxa" w:w="3658"/>
            <w:vAlign w:val="center"/>
            <w:tcMar>
              <w:top w:w="65" w:type="dxa"/>
              <w:start w:w="75" w:type="dxa"/>
              <w:bottom w:w="65" w:type="dxa"/>
              <w:end w:w="75" w:type="dxa"/>
            </w:tcMar>
          </w:tcPr>
          <w:p>
            <w:pPr>
              <w:spacing w:after="0" w:line="259" w:lineRule="auto"/>
            </w:pPr>
            <w:r>
              <w:rPr>
                <w:rFonts w:ascii="Lato" w:hAnsi="Lato"/>
                <w:color w:val="202D33"/>
                <w:sz w:val="15"/>
              </w:rPr>
              <w:t>Explain why a project was selected/rejected, who benefits, and what is uncertain.</w:t>
            </w:r>
          </w:p>
        </w:tc>
      </w:tr>
    </w:tbl>
    <w:p>
      <w:pPr>
        <w:spacing w:after="40"/>
      </w:pPr>
    </w:p>
    <w:p>
      <w:pPr>
        <w:pStyle w:val="Heading2"/>
      </w:pPr>
      <w:r>
        <w:t>1.3 Outcomes and boundaries</w:t>
      </w:r>
    </w:p>
    <w:p>
      <w:pPr>
        <w:pStyle w:val="ListBullet"/>
      </w:pPr>
      <w:r>
        <w:t>The system should help planners compare interventions, allocate limited resources, anticipate climate disruptions and understand which populations benefit. [PS]</w:t>
      </w:r>
    </w:p>
    <w:p>
      <w:pPr>
        <w:pStyle w:val="ListBullet"/>
      </w:pPr>
      <w:r>
        <w:t>It is a decision-support proof of concept, not a certified engineering design, city-scale flood prediction, or source of verified avoided-loss estimates.</w:t>
      </w:r>
    </w:p>
    <w:p>
      <w:pPr>
        <w:pStyle w:val="ListBullet"/>
      </w:pPr>
      <w:r>
        <w:t>No unverified data may be presented as a measured Bengaluru statistic. All model outputs must identify units, study scale, assumptions and evidence grade.</w:t>
      </w:r>
    </w:p>
    <w:p>
      <w:pPr>
        <w:pStyle w:val="Heading1"/>
      </w:pPr>
      <w:r>
        <w:t>2. Product outcomes and minimum success criteria</w:t>
      </w:r>
    </w:p>
    <w:p>
      <w:pPr>
        <w:pStyle w:val="Heading2"/>
      </w:pPr>
      <w:r>
        <w:t>2.1 Target user and workflow</w:t>
      </w:r>
    </w:p>
    <w:p>
      <w:r>
        <w:t>Primary user: urban planner, urban resilience analyst, facilities/municipal infrastructure decision-maker or sustainability programme lead. User journey: choose pilot zone and baseline → inspect risks/suitability → select budget and priorities → optimise → examine who benefits → trigger a shock → compare the old plan and new optimum → read the evidence-backed explanation → save a reproducible decision summary.</w:t>
      </w:r>
    </w:p>
    <w:p>
      <w:pPr>
        <w:pStyle w:val="Heading2"/>
      </w:pPr>
      <w:r>
        <w:t>2.2 Operational success measures</w:t>
      </w:r>
    </w:p>
    <w:tbl>
      <w:tblPr>
        <w:tblW w:type="auto" w:w="0"/>
        <w:jc w:val="center"/>
        <w:tblLayout w:type="fixed"/>
        <w:tblLook w:firstColumn="1" w:firstRow="1" w:lastColumn="0" w:lastRow="0" w:noHBand="0" w:noVBand="1" w:val="04A0"/>
      </w:tblPr>
      <w:tblGrid>
        <w:gridCol w:w="2333"/>
        <w:gridCol w:w="7474"/>
      </w:tblGrid>
      <w:tr>
        <w:trPr>
          <w:tblHeader w:val="true"/>
          <w:cantSplit/>
        </w:trPr>
        <w:tc>
          <w:tcPr>
            <w:tcW w:type="dxa" w:w="2333"/>
            <w:shd w:fill="143A49"/>
            <w:tcMar>
              <w:top w:w="85" w:type="dxa"/>
              <w:start w:w="85" w:type="dxa"/>
              <w:bottom w:w="85" w:type="dxa"/>
              <w:end w:w="85" w:type="dxa"/>
            </w:tcMar>
          </w:tcPr>
          <w:p>
            <w:pPr>
              <w:spacing w:after="0"/>
            </w:pPr>
            <w:r>
              <w:rPr>
                <w:rFonts w:ascii="Lato" w:hAnsi="Lato"/>
                <w:b/>
                <w:color w:val="FFFFFF"/>
                <w:sz w:val="16"/>
              </w:rPr>
              <w:t>Measure</w:t>
            </w:r>
          </w:p>
        </w:tc>
        <w:tc>
          <w:tcPr>
            <w:tcW w:type="dxa" w:w="7474"/>
            <w:shd w:fill="143A49"/>
            <w:tcMar>
              <w:top w:w="85" w:type="dxa"/>
              <w:start w:w="85" w:type="dxa"/>
              <w:bottom w:w="85" w:type="dxa"/>
              <w:end w:w="85" w:type="dxa"/>
            </w:tcMar>
          </w:tcPr>
          <w:p>
            <w:pPr>
              <w:spacing w:after="0"/>
            </w:pPr>
            <w:r>
              <w:rPr>
                <w:rFonts w:ascii="Lato" w:hAnsi="Lato"/>
                <w:b/>
                <w:color w:val="FFFFFF"/>
                <w:sz w:val="16"/>
              </w:rPr>
              <w:t>Acceptance threshold for prototype</w:t>
            </w:r>
          </w:p>
        </w:tc>
      </w:tr>
      <w:tr>
        <w:trPr>
          <w:cantSplit/>
        </w:trPr>
        <w:tc>
          <w:tcPr>
            <w:tcW w:type="dxa" w:w="2333"/>
            <w:vAlign w:val="center"/>
            <w:tcMar>
              <w:top w:w="65" w:type="dxa"/>
              <w:start w:w="75" w:type="dxa"/>
              <w:bottom w:w="65" w:type="dxa"/>
              <w:end w:w="75" w:type="dxa"/>
            </w:tcMar>
          </w:tcPr>
          <w:p>
            <w:pPr>
              <w:spacing w:after="0" w:line="259" w:lineRule="auto"/>
            </w:pPr>
            <w:r>
              <w:rPr>
                <w:rFonts w:ascii="Lato" w:hAnsi="Lato"/>
                <w:color w:val="202D33"/>
                <w:sz w:val="16"/>
              </w:rPr>
              <w:t>Requirements coverage</w:t>
            </w:r>
          </w:p>
        </w:tc>
        <w:tc>
          <w:tcPr>
            <w:tcW w:type="dxa" w:w="7474"/>
            <w:vAlign w:val="center"/>
            <w:tcMar>
              <w:top w:w="65" w:type="dxa"/>
              <w:start w:w="75" w:type="dxa"/>
              <w:bottom w:w="65" w:type="dxa"/>
              <w:end w:w="75" w:type="dxa"/>
            </w:tcMar>
          </w:tcPr>
          <w:p>
            <w:pPr>
              <w:spacing w:after="0" w:line="259" w:lineRule="auto"/>
            </w:pPr>
            <w:r>
              <w:rPr>
                <w:rFonts w:ascii="Lato" w:hAnsi="Lato"/>
                <w:color w:val="202D33"/>
                <w:sz w:val="16"/>
              </w:rPr>
              <w:t>All five official modules demonstrably functional; all four interventions evaluated.</w:t>
            </w:r>
          </w:p>
        </w:tc>
      </w:tr>
      <w:tr>
        <w:trPr>
          <w:cantSplit/>
        </w:trPr>
        <w:tc>
          <w:tcPr>
            <w:tcW w:type="dxa" w:w="2333"/>
            <w:vAlign w:val="center"/>
            <w:tcMar>
              <w:top w:w="65" w:type="dxa"/>
              <w:start w:w="75" w:type="dxa"/>
              <w:bottom w:w="65" w:type="dxa"/>
              <w:end w:w="75" w:type="dxa"/>
            </w:tcMar>
            <w:shd w:fill="F0F5F5"/>
          </w:tcPr>
          <w:p>
            <w:pPr>
              <w:spacing w:after="0" w:line="259" w:lineRule="auto"/>
            </w:pPr>
            <w:r>
              <w:rPr>
                <w:rFonts w:ascii="Lato" w:hAnsi="Lato"/>
                <w:color w:val="202D33"/>
                <w:sz w:val="16"/>
              </w:rPr>
              <w:t>Feasibility</w:t>
            </w:r>
          </w:p>
        </w:tc>
        <w:tc>
          <w:tcPr>
            <w:tcW w:type="dxa" w:w="7474"/>
            <w:vAlign w:val="center"/>
            <w:tcMar>
              <w:top w:w="65" w:type="dxa"/>
              <w:start w:w="75" w:type="dxa"/>
              <w:bottom w:w="65" w:type="dxa"/>
              <w:end w:w="75" w:type="dxa"/>
            </w:tcMar>
            <w:shd w:fill="F0F5F5"/>
          </w:tcPr>
          <w:p>
            <w:pPr>
              <w:spacing w:after="0" w:line="259" w:lineRule="auto"/>
            </w:pPr>
            <w:r>
              <w:rPr>
                <w:rFonts w:ascii="Lato" w:hAnsi="Lato"/>
                <w:color w:val="202D33"/>
                <w:sz w:val="16"/>
              </w:rPr>
              <w:t>100% of displayed chosen projects pass implemented budget, capacity and eligibility constraints.</w:t>
            </w:r>
          </w:p>
        </w:tc>
      </w:tr>
      <w:tr>
        <w:trPr>
          <w:cantSplit/>
        </w:trPr>
        <w:tc>
          <w:tcPr>
            <w:tcW w:type="dxa" w:w="2333"/>
            <w:vAlign w:val="center"/>
            <w:tcMar>
              <w:top w:w="65" w:type="dxa"/>
              <w:start w:w="75" w:type="dxa"/>
              <w:bottom w:w="65" w:type="dxa"/>
              <w:end w:w="75" w:type="dxa"/>
            </w:tcMar>
          </w:tcPr>
          <w:p>
            <w:pPr>
              <w:spacing w:after="0" w:line="259" w:lineRule="auto"/>
            </w:pPr>
            <w:r>
              <w:rPr>
                <w:rFonts w:ascii="Lato" w:hAnsi="Lato"/>
                <w:color w:val="202D33"/>
                <w:sz w:val="16"/>
              </w:rPr>
              <w:t>Traceability</w:t>
            </w:r>
          </w:p>
        </w:tc>
        <w:tc>
          <w:tcPr>
            <w:tcW w:type="dxa" w:w="7474"/>
            <w:vAlign w:val="center"/>
            <w:tcMar>
              <w:top w:w="65" w:type="dxa"/>
              <w:start w:w="75" w:type="dxa"/>
              <w:bottom w:w="65" w:type="dxa"/>
              <w:end w:w="75" w:type="dxa"/>
            </w:tcMar>
          </w:tcPr>
          <w:p>
            <w:pPr>
              <w:spacing w:after="0" w:line="259" w:lineRule="auto"/>
            </w:pPr>
            <w:r>
              <w:rPr>
                <w:rFonts w:ascii="Lato" w:hAnsi="Lato"/>
                <w:color w:val="202D33"/>
                <w:sz w:val="16"/>
              </w:rPr>
              <w:t>Every material input is linked to a source or explicit assumption with units; every result has a run ID and model version.</w:t>
            </w:r>
          </w:p>
        </w:tc>
      </w:tr>
      <w:tr>
        <w:trPr>
          <w:cantSplit/>
        </w:trPr>
        <w:tc>
          <w:tcPr>
            <w:tcW w:type="dxa" w:w="2333"/>
            <w:vAlign w:val="center"/>
            <w:tcMar>
              <w:top w:w="65" w:type="dxa"/>
              <w:start w:w="75" w:type="dxa"/>
              <w:bottom w:w="65" w:type="dxa"/>
              <w:end w:w="75" w:type="dxa"/>
            </w:tcMar>
            <w:shd w:fill="F0F5F5"/>
          </w:tcPr>
          <w:p>
            <w:pPr>
              <w:spacing w:after="0" w:line="259" w:lineRule="auto"/>
            </w:pPr>
            <w:r>
              <w:rPr>
                <w:rFonts w:ascii="Lato" w:hAnsi="Lato"/>
                <w:color w:val="202D33"/>
                <w:sz w:val="16"/>
              </w:rPr>
              <w:t>Scenario validity</w:t>
            </w:r>
          </w:p>
        </w:tc>
        <w:tc>
          <w:tcPr>
            <w:tcW w:type="dxa" w:w="7474"/>
            <w:vAlign w:val="center"/>
            <w:tcMar>
              <w:top w:w="65" w:type="dxa"/>
              <w:start w:w="75" w:type="dxa"/>
              <w:bottom w:w="65" w:type="dxa"/>
              <w:end w:w="75" w:type="dxa"/>
            </w:tcMar>
            <w:shd w:fill="F0F5F5"/>
          </w:tcPr>
          <w:p>
            <w:pPr>
              <w:spacing w:after="0" w:line="259" w:lineRule="auto"/>
            </w:pPr>
            <w:r>
              <w:rPr>
                <w:rFonts w:ascii="Lato" w:hAnsi="Lato"/>
                <w:color w:val="202D33"/>
                <w:sz w:val="16"/>
              </w:rPr>
              <w:t>Three named shocks recompute model inputs and rerun evaluation; no hard-coded alternative charts.</w:t>
            </w:r>
          </w:p>
        </w:tc>
      </w:tr>
      <w:tr>
        <w:trPr>
          <w:cantSplit/>
        </w:trPr>
        <w:tc>
          <w:tcPr>
            <w:tcW w:type="dxa" w:w="2333"/>
            <w:vAlign w:val="center"/>
            <w:tcMar>
              <w:top w:w="65" w:type="dxa"/>
              <w:start w:w="75" w:type="dxa"/>
              <w:bottom w:w="65" w:type="dxa"/>
              <w:end w:w="75" w:type="dxa"/>
            </w:tcMar>
          </w:tcPr>
          <w:p>
            <w:pPr>
              <w:spacing w:after="0" w:line="259" w:lineRule="auto"/>
            </w:pPr>
            <w:r>
              <w:rPr>
                <w:rFonts w:ascii="Lato" w:hAnsi="Lato"/>
                <w:color w:val="202D33"/>
                <w:sz w:val="16"/>
              </w:rPr>
              <w:t>Transparency</w:t>
            </w:r>
          </w:p>
        </w:tc>
        <w:tc>
          <w:tcPr>
            <w:tcW w:type="dxa" w:w="7474"/>
            <w:vAlign w:val="center"/>
            <w:tcMar>
              <w:top w:w="65" w:type="dxa"/>
              <w:start w:w="75" w:type="dxa"/>
              <w:bottom w:w="65" w:type="dxa"/>
              <w:end w:w="75" w:type="dxa"/>
            </w:tcMar>
          </w:tcPr>
          <w:p>
            <w:pPr>
              <w:spacing w:after="0" w:line="259" w:lineRule="auto"/>
            </w:pPr>
            <w:r>
              <w:rPr>
                <w:rFonts w:ascii="Lato" w:hAnsi="Lato"/>
                <w:color w:val="202D33"/>
                <w:sz w:val="16"/>
              </w:rPr>
              <w:t>Show environment, economic and equity trade-offs; never assert universal superiority on all metrics.</w:t>
            </w:r>
          </w:p>
        </w:tc>
      </w:tr>
      <w:tr>
        <w:trPr>
          <w:cantSplit/>
        </w:trPr>
        <w:tc>
          <w:tcPr>
            <w:tcW w:type="dxa" w:w="2333"/>
            <w:vAlign w:val="center"/>
            <w:tcMar>
              <w:top w:w="65" w:type="dxa"/>
              <w:start w:w="75" w:type="dxa"/>
              <w:bottom w:w="65" w:type="dxa"/>
              <w:end w:w="75" w:type="dxa"/>
            </w:tcMar>
            <w:shd w:fill="F0F5F5"/>
          </w:tcPr>
          <w:p>
            <w:pPr>
              <w:spacing w:after="0" w:line="259" w:lineRule="auto"/>
            </w:pPr>
            <w:r>
              <w:rPr>
                <w:rFonts w:ascii="Lato" w:hAnsi="Lato"/>
                <w:color w:val="202D33"/>
                <w:sz w:val="16"/>
              </w:rPr>
              <w:t>Demo reliability</w:t>
            </w:r>
          </w:p>
        </w:tc>
        <w:tc>
          <w:tcPr>
            <w:tcW w:type="dxa" w:w="7474"/>
            <w:vAlign w:val="center"/>
            <w:tcMar>
              <w:top w:w="65" w:type="dxa"/>
              <w:start w:w="75" w:type="dxa"/>
              <w:bottom w:w="65" w:type="dxa"/>
              <w:end w:w="75" w:type="dxa"/>
            </w:tcMar>
            <w:shd w:fill="F0F5F5"/>
          </w:tcPr>
          <w:p>
            <w:pPr>
              <w:spacing w:after="0" w:line="259" w:lineRule="auto"/>
            </w:pPr>
            <w:r>
              <w:rPr>
                <w:rFonts w:ascii="Lato" w:hAnsi="Lato"/>
                <w:color w:val="202D33"/>
                <w:sz w:val="16"/>
              </w:rPr>
              <w:t>An end-to-end local/offline demonstration works without S3 or Bedrock availability.</w:t>
            </w:r>
          </w:p>
        </w:tc>
      </w:tr>
      <w:tr>
        <w:trPr>
          <w:cantSplit/>
        </w:trPr>
        <w:tc>
          <w:tcPr>
            <w:tcW w:type="dxa" w:w="2333"/>
            <w:vAlign w:val="center"/>
            <w:tcMar>
              <w:top w:w="65" w:type="dxa"/>
              <w:start w:w="75" w:type="dxa"/>
              <w:bottom w:w="65" w:type="dxa"/>
              <w:end w:w="75" w:type="dxa"/>
            </w:tcMar>
          </w:tcPr>
          <w:p>
            <w:pPr>
              <w:spacing w:after="0" w:line="259" w:lineRule="auto"/>
            </w:pPr>
            <w:r>
              <w:rPr>
                <w:rFonts w:ascii="Lato" w:hAnsi="Lato"/>
                <w:color w:val="202D33"/>
                <w:sz w:val="16"/>
              </w:rPr>
              <w:t>Speed target</w:t>
            </w:r>
          </w:p>
        </w:tc>
        <w:tc>
          <w:tcPr>
            <w:tcW w:type="dxa" w:w="7474"/>
            <w:vAlign w:val="center"/>
            <w:tcMar>
              <w:top w:w="65" w:type="dxa"/>
              <w:start w:w="75" w:type="dxa"/>
              <w:bottom w:w="65" w:type="dxa"/>
              <w:end w:w="75" w:type="dxa"/>
            </w:tcMar>
          </w:tcPr>
          <w:p>
            <w:pPr>
              <w:spacing w:after="0" w:line="259" w:lineRule="auto"/>
            </w:pPr>
            <w:r>
              <w:rPr>
                <w:rFonts w:ascii="Lato" w:hAnsi="Lato"/>
                <w:color w:val="202D33"/>
                <w:sz w:val="16"/>
              </w:rPr>
              <w:t>Target ordinary three-zone runs to feel interactive (ideally seconds); measure locally rather than promise fixed latency.</w:t>
            </w:r>
          </w:p>
        </w:tc>
      </w:tr>
    </w:tbl>
    <w:p>
      <w:pPr>
        <w:spacing w:after="40"/>
      </w:pPr>
    </w:p>
    <w:p>
      <w:pPr>
        <w:pStyle w:val="Heading2"/>
      </w:pPr>
      <w:r>
        <w:t>2.3 Impact positioning</w:t>
      </w:r>
    </w:p>
    <w:p>
      <w:r>
        <w:t>The immediate measurable product impact is improved decision quality and auditability in a controlled planning exercise: fewer infeasible options, comparable alternatives, consistent treatment of equity and modelled climate shocks. Real-world flood-loss prevention, emissions reduction and ROI require later calibration, observation and field validation.</w:t>
      </w:r>
    </w:p>
    <w:p>
      <w:pPr>
        <w:pStyle w:val="Heading1"/>
      </w:pPr>
      <w:r>
        <w:t>3. Pilot geography, data and provenance</w:t>
      </w:r>
    </w:p>
    <w:p>
      <w:pPr>
        <w:pStyle w:val="Heading2"/>
      </w:pPr>
      <w:r>
        <w:t>3.1 Study design</w:t>
      </w:r>
    </w:p>
    <w:p>
      <w:r>
        <w:t>Recommended starting geography: Bengaluru, with the ATREE Yelahanka sub-catchment research providing local flood-risk context. Use three internally consistent planning zones in one hydrologically coherent pilot area when comparable layers are available. If formal zone boundaries cannot be obtained quickly, use explicitly illustrative subzones without assigning them unsupported official ward characteristics. [R1]</w:t>
      </w:r>
    </w:p>
    <w:p>
      <w:r>
        <w:t>Maintain 12–24 candidate project units in the initial catalogue, distributed among the three zones. The units represent distinct physical investment opportunities, not thousands of individual assets.</w:t>
      </w:r>
    </w:p>
    <w:p>
      <w:pPr>
        <w:pStyle w:val="Heading2"/>
      </w:pPr>
      <w:r>
        <w:t>3.2 Data input and source plan</w:t>
      </w:r>
    </w:p>
    <w:tbl>
      <w:tblPr>
        <w:tblW w:type="auto" w:w="0"/>
        <w:jc w:val="center"/>
        <w:tblLayout w:type="fixed"/>
        <w:tblLook w:firstColumn="1" w:firstRow="1" w:lastColumn="0" w:lastRow="0" w:noHBand="0" w:noVBand="1" w:val="04A0"/>
      </w:tblPr>
      <w:tblGrid>
        <w:gridCol w:w="1613"/>
        <w:gridCol w:w="4118"/>
        <w:gridCol w:w="4090"/>
      </w:tblGrid>
      <w:tr>
        <w:trPr>
          <w:tblHeader w:val="true"/>
          <w:cantSplit/>
        </w:trPr>
        <w:tc>
          <w:tcPr>
            <w:tcW w:type="dxa" w:w="1613"/>
            <w:shd w:fill="143A49"/>
            <w:tcMar>
              <w:top w:w="85" w:type="dxa"/>
              <w:start w:w="85" w:type="dxa"/>
              <w:bottom w:w="85" w:type="dxa"/>
              <w:end w:w="85" w:type="dxa"/>
            </w:tcMar>
          </w:tcPr>
          <w:p>
            <w:pPr>
              <w:spacing w:after="0"/>
            </w:pPr>
            <w:r>
              <w:rPr>
                <w:rFonts w:ascii="Lato" w:hAnsi="Lato"/>
                <w:b/>
                <w:color w:val="FFFFFF"/>
                <w:sz w:val="15"/>
              </w:rPr>
              <w:t>Required category</w:t>
            </w:r>
          </w:p>
        </w:tc>
        <w:tc>
          <w:tcPr>
            <w:tcW w:type="dxa" w:w="4118"/>
            <w:shd w:fill="143A49"/>
            <w:tcMar>
              <w:top w:w="85" w:type="dxa"/>
              <w:start w:w="85" w:type="dxa"/>
              <w:bottom w:w="85" w:type="dxa"/>
              <w:end w:w="85" w:type="dxa"/>
            </w:tcMar>
          </w:tcPr>
          <w:p>
            <w:pPr>
              <w:spacing w:after="0"/>
            </w:pPr>
            <w:r>
              <w:rPr>
                <w:rFonts w:ascii="Lato" w:hAnsi="Lato"/>
                <w:b/>
                <w:color w:val="FFFFFF"/>
                <w:sz w:val="15"/>
              </w:rPr>
              <w:t>Key fields / modelling role</w:t>
            </w:r>
          </w:p>
        </w:tc>
        <w:tc>
          <w:tcPr>
            <w:tcW w:type="dxa" w:w="4090"/>
            <w:shd w:fill="143A49"/>
            <w:tcMar>
              <w:top w:w="85" w:type="dxa"/>
              <w:start w:w="85" w:type="dxa"/>
              <w:bottom w:w="85" w:type="dxa"/>
              <w:end w:w="85" w:type="dxa"/>
            </w:tcMar>
          </w:tcPr>
          <w:p>
            <w:pPr>
              <w:spacing w:after="0"/>
            </w:pPr>
            <w:r>
              <w:rPr>
                <w:rFonts w:ascii="Lato" w:hAnsi="Lato"/>
                <w:b/>
                <w:color w:val="FFFFFF"/>
                <w:sz w:val="15"/>
              </w:rPr>
              <w:t>Source priority</w:t>
            </w:r>
          </w:p>
        </w:tc>
      </w:tr>
      <w:tr>
        <w:trPr>
          <w:cantSplit/>
        </w:trPr>
        <w:tc>
          <w:tcPr>
            <w:tcW w:type="dxa" w:w="1613"/>
            <w:vAlign w:val="center"/>
            <w:tcMar>
              <w:top w:w="65" w:type="dxa"/>
              <w:start w:w="75" w:type="dxa"/>
              <w:bottom w:w="65" w:type="dxa"/>
              <w:end w:w="75" w:type="dxa"/>
            </w:tcMar>
          </w:tcPr>
          <w:p>
            <w:pPr>
              <w:spacing w:after="0" w:line="259" w:lineRule="auto"/>
            </w:pPr>
            <w:r>
              <w:rPr>
                <w:rFonts w:ascii="Lato" w:hAnsi="Lato"/>
                <w:color w:val="202D33"/>
                <w:sz w:val="15"/>
              </w:rPr>
              <w:t>Climate / rainfall</w:t>
            </w:r>
          </w:p>
        </w:tc>
        <w:tc>
          <w:tcPr>
            <w:tcW w:type="dxa" w:w="4118"/>
            <w:vAlign w:val="center"/>
            <w:tcMar>
              <w:top w:w="65" w:type="dxa"/>
              <w:start w:w="75" w:type="dxa"/>
              <w:bottom w:w="65" w:type="dxa"/>
              <w:end w:w="75" w:type="dxa"/>
            </w:tcMar>
          </w:tcPr>
          <w:p>
            <w:pPr>
              <w:spacing w:after="0" w:line="259" w:lineRule="auto"/>
            </w:pPr>
            <w:r>
              <w:rPr>
                <w:rFonts w:ascii="Lato" w:hAnsi="Lato"/>
                <w:color w:val="202D33"/>
                <w:sz w:val="15"/>
              </w:rPr>
              <w:t>Precipitation history, event design intensity, temperature; scenario overrides.</w:t>
            </w:r>
          </w:p>
        </w:tc>
        <w:tc>
          <w:tcPr>
            <w:tcW w:type="dxa" w:w="4090"/>
            <w:vAlign w:val="center"/>
            <w:tcMar>
              <w:top w:w="65" w:type="dxa"/>
              <w:start w:w="75" w:type="dxa"/>
              <w:bottom w:w="65" w:type="dxa"/>
              <w:end w:w="75" w:type="dxa"/>
            </w:tcMar>
          </w:tcPr>
          <w:p>
            <w:pPr>
              <w:spacing w:after="0" w:line="259" w:lineRule="auto"/>
            </w:pPr>
            <w:r>
              <w:rPr>
                <w:rFonts w:ascii="Lato" w:hAnsi="Lato"/>
                <w:color w:val="202D33"/>
                <w:sz w:val="15"/>
              </w:rPr>
              <w:t>ATREE context, CHIRPS/NASA POWER where spatial resolution is appropriate.</w:t>
            </w:r>
          </w:p>
        </w:tc>
      </w:tr>
      <w:tr>
        <w:trPr>
          <w:cantSplit/>
        </w:trPr>
        <w:tc>
          <w:tcPr>
            <w:tcW w:type="dxa" w:w="1613"/>
            <w:vAlign w:val="center"/>
            <w:tcMar>
              <w:top w:w="65" w:type="dxa"/>
              <w:start w:w="75" w:type="dxa"/>
              <w:bottom w:w="65" w:type="dxa"/>
              <w:end w:w="75" w:type="dxa"/>
            </w:tcMar>
            <w:shd w:fill="F0F5F5"/>
          </w:tcPr>
          <w:p>
            <w:pPr>
              <w:spacing w:after="0" w:line="259" w:lineRule="auto"/>
            </w:pPr>
            <w:r>
              <w:rPr>
                <w:rFonts w:ascii="Lato" w:hAnsi="Lato"/>
                <w:color w:val="202D33"/>
                <w:sz w:val="15"/>
              </w:rPr>
              <w:t>Land cover / slope</w:t>
            </w:r>
          </w:p>
        </w:tc>
        <w:tc>
          <w:tcPr>
            <w:tcW w:type="dxa" w:w="4118"/>
            <w:vAlign w:val="center"/>
            <w:tcMar>
              <w:top w:w="65" w:type="dxa"/>
              <w:start w:w="75" w:type="dxa"/>
              <w:bottom w:w="65" w:type="dxa"/>
              <w:end w:w="75" w:type="dxa"/>
            </w:tcMar>
            <w:shd w:fill="F0F5F5"/>
          </w:tcPr>
          <w:p>
            <w:pPr>
              <w:spacing w:after="0" w:line="259" w:lineRule="auto"/>
            </w:pPr>
            <w:r>
              <w:rPr>
                <w:rFonts w:ascii="Lato" w:hAnsi="Lato"/>
                <w:color w:val="202D33"/>
                <w:sz w:val="15"/>
              </w:rPr>
              <w:t>Impervious fraction, vegetation, eligible land, roof footprint, slope.</w:t>
            </w:r>
          </w:p>
        </w:tc>
        <w:tc>
          <w:tcPr>
            <w:tcW w:type="dxa" w:w="4090"/>
            <w:vAlign w:val="center"/>
            <w:tcMar>
              <w:top w:w="65" w:type="dxa"/>
              <w:start w:w="75" w:type="dxa"/>
              <w:bottom w:w="65" w:type="dxa"/>
              <w:end w:w="75" w:type="dxa"/>
            </w:tcMar>
            <w:shd w:fill="F0F5F5"/>
          </w:tcPr>
          <w:p>
            <w:pPr>
              <w:spacing w:after="0" w:line="259" w:lineRule="auto"/>
            </w:pPr>
            <w:r>
              <w:rPr>
                <w:rFonts w:ascii="Lato" w:hAnsi="Lato"/>
                <w:color w:val="202D33"/>
                <w:sz w:val="15"/>
              </w:rPr>
              <w:t>ESA WorldCover / terrain layer; Google Open Buildings; local verification.</w:t>
            </w:r>
          </w:p>
        </w:tc>
      </w:tr>
      <w:tr>
        <w:trPr>
          <w:cantSplit/>
        </w:trPr>
        <w:tc>
          <w:tcPr>
            <w:tcW w:type="dxa" w:w="1613"/>
            <w:vAlign w:val="center"/>
            <w:tcMar>
              <w:top w:w="65" w:type="dxa"/>
              <w:start w:w="75" w:type="dxa"/>
              <w:bottom w:w="65" w:type="dxa"/>
              <w:end w:w="75" w:type="dxa"/>
            </w:tcMar>
          </w:tcPr>
          <w:p>
            <w:pPr>
              <w:spacing w:after="0" w:line="259" w:lineRule="auto"/>
            </w:pPr>
            <w:r>
              <w:rPr>
                <w:rFonts w:ascii="Lato" w:hAnsi="Lato"/>
                <w:color w:val="202D33"/>
                <w:sz w:val="15"/>
              </w:rPr>
              <w:t>Water / drainage</w:t>
            </w:r>
          </w:p>
        </w:tc>
        <w:tc>
          <w:tcPr>
            <w:tcW w:type="dxa" w:w="4118"/>
            <w:vAlign w:val="center"/>
            <w:tcMar>
              <w:top w:w="65" w:type="dxa"/>
              <w:start w:w="75" w:type="dxa"/>
              <w:bottom w:w="65" w:type="dxa"/>
              <w:end w:w="75" w:type="dxa"/>
            </w:tcMar>
          </w:tcPr>
          <w:p>
            <w:pPr>
              <w:spacing w:after="0" w:line="259" w:lineRule="auto"/>
            </w:pPr>
            <w:r>
              <w:rPr>
                <w:rFonts w:ascii="Lato" w:hAnsi="Lato"/>
                <w:color w:val="202D33"/>
                <w:sz w:val="15"/>
              </w:rPr>
              <w:t>Catchment area, runoff proxy, reference capacity, water demand and storage.</w:t>
            </w:r>
          </w:p>
        </w:tc>
        <w:tc>
          <w:tcPr>
            <w:tcW w:type="dxa" w:w="4090"/>
            <w:vAlign w:val="center"/>
            <w:tcMar>
              <w:top w:w="65" w:type="dxa"/>
              <w:start w:w="75" w:type="dxa"/>
              <w:bottom w:w="65" w:type="dxa"/>
              <w:end w:w="75" w:type="dxa"/>
            </w:tcMar>
          </w:tcPr>
          <w:p>
            <w:pPr>
              <w:spacing w:after="0" w:line="259" w:lineRule="auto"/>
            </w:pPr>
            <w:r>
              <w:rPr>
                <w:rFonts w:ascii="Lato" w:hAnsi="Lato"/>
                <w:color w:val="202D33"/>
                <w:sz w:val="15"/>
              </w:rPr>
              <w:t>ATREE/local records if available, otherwise labelled screening assumptions.</w:t>
            </w:r>
          </w:p>
        </w:tc>
      </w:tr>
      <w:tr>
        <w:trPr>
          <w:cantSplit/>
        </w:trPr>
        <w:tc>
          <w:tcPr>
            <w:tcW w:type="dxa" w:w="1613"/>
            <w:vAlign w:val="center"/>
            <w:tcMar>
              <w:top w:w="65" w:type="dxa"/>
              <w:start w:w="75" w:type="dxa"/>
              <w:bottom w:w="65" w:type="dxa"/>
              <w:end w:w="75" w:type="dxa"/>
            </w:tcMar>
            <w:shd w:fill="F0F5F5"/>
          </w:tcPr>
          <w:p>
            <w:pPr>
              <w:spacing w:after="0" w:line="259" w:lineRule="auto"/>
            </w:pPr>
            <w:r>
              <w:rPr>
                <w:rFonts w:ascii="Lato" w:hAnsi="Lato"/>
                <w:color w:val="202D33"/>
                <w:sz w:val="15"/>
              </w:rPr>
              <w:t>Population / equity</w:t>
            </w:r>
          </w:p>
        </w:tc>
        <w:tc>
          <w:tcPr>
            <w:tcW w:type="dxa" w:w="4118"/>
            <w:vAlign w:val="center"/>
            <w:tcMar>
              <w:top w:w="65" w:type="dxa"/>
              <w:start w:w="75" w:type="dxa"/>
              <w:bottom w:w="65" w:type="dxa"/>
              <w:end w:w="75" w:type="dxa"/>
            </w:tcMar>
            <w:shd w:fill="F0F5F5"/>
          </w:tcPr>
          <w:p>
            <w:pPr>
              <w:spacing w:after="0" w:line="259" w:lineRule="auto"/>
            </w:pPr>
            <w:r>
              <w:rPr>
                <w:rFonts w:ascii="Lato" w:hAnsi="Lato"/>
                <w:color w:val="202D33"/>
                <w:sz w:val="15"/>
              </w:rPr>
              <w:t>Population, exposure, density and disclosed vulnerability proxy.</w:t>
            </w:r>
          </w:p>
        </w:tc>
        <w:tc>
          <w:tcPr>
            <w:tcW w:type="dxa" w:w="4090"/>
            <w:vAlign w:val="center"/>
            <w:tcMar>
              <w:top w:w="65" w:type="dxa"/>
              <w:start w:w="75" w:type="dxa"/>
              <w:bottom w:w="65" w:type="dxa"/>
              <w:end w:w="75" w:type="dxa"/>
            </w:tcMar>
            <w:shd w:fill="F0F5F5"/>
          </w:tcPr>
          <w:p>
            <w:pPr>
              <w:spacing w:after="0" w:line="259" w:lineRule="auto"/>
            </w:pPr>
            <w:r>
              <w:rPr>
                <w:rFonts w:ascii="Lato" w:hAnsi="Lato"/>
                <w:color w:val="202D33"/>
                <w:sz w:val="15"/>
              </w:rPr>
              <w:t>WorldPop or credible official data; no invented measured deprivation index.</w:t>
            </w:r>
          </w:p>
        </w:tc>
      </w:tr>
      <w:tr>
        <w:trPr>
          <w:cantSplit/>
        </w:trPr>
        <w:tc>
          <w:tcPr>
            <w:tcW w:type="dxa" w:w="1613"/>
            <w:vAlign w:val="center"/>
            <w:tcMar>
              <w:top w:w="65" w:type="dxa"/>
              <w:start w:w="75" w:type="dxa"/>
              <w:bottom w:w="65" w:type="dxa"/>
              <w:end w:w="75" w:type="dxa"/>
            </w:tcMar>
          </w:tcPr>
          <w:p>
            <w:pPr>
              <w:spacing w:after="0" w:line="259" w:lineRule="auto"/>
            </w:pPr>
            <w:r>
              <w:rPr>
                <w:rFonts w:ascii="Lato" w:hAnsi="Lato"/>
                <w:color w:val="202D33"/>
                <w:sz w:val="15"/>
              </w:rPr>
              <w:t>Cost / maintenance</w:t>
            </w:r>
          </w:p>
        </w:tc>
        <w:tc>
          <w:tcPr>
            <w:tcW w:type="dxa" w:w="4118"/>
            <w:vAlign w:val="center"/>
            <w:tcMar>
              <w:top w:w="65" w:type="dxa"/>
              <w:start w:w="75" w:type="dxa"/>
              <w:bottom w:w="65" w:type="dxa"/>
              <w:end w:w="75" w:type="dxa"/>
            </w:tcMar>
          </w:tcPr>
          <w:p>
            <w:pPr>
              <w:spacing w:after="0" w:line="259" w:lineRule="auto"/>
            </w:pPr>
            <w:r>
              <w:rPr>
                <w:rFonts w:ascii="Lato" w:hAnsi="Lato"/>
                <w:color w:val="202D33"/>
                <w:sz w:val="15"/>
              </w:rPr>
              <w:t>Capital INR, maintenance INR/year, lifespan, implementation constraint.</w:t>
            </w:r>
          </w:p>
        </w:tc>
        <w:tc>
          <w:tcPr>
            <w:tcW w:type="dxa" w:w="4090"/>
            <w:vAlign w:val="center"/>
            <w:tcMar>
              <w:top w:w="65" w:type="dxa"/>
              <w:start w:w="75" w:type="dxa"/>
              <w:bottom w:w="65" w:type="dxa"/>
              <w:end w:w="75" w:type="dxa"/>
            </w:tcMar>
          </w:tcPr>
          <w:p>
            <w:pPr>
              <w:spacing w:after="0" w:line="259" w:lineRule="auto"/>
            </w:pPr>
            <w:r>
              <w:rPr>
                <w:rFonts w:ascii="Lato" w:hAnsi="Lato"/>
                <w:color w:val="202D33"/>
                <w:sz w:val="15"/>
              </w:rPr>
              <w:t>Transparent research-informed ranges, vendor/municipal estimates if available.</w:t>
            </w:r>
          </w:p>
        </w:tc>
      </w:tr>
      <w:tr>
        <w:trPr>
          <w:cantSplit/>
        </w:trPr>
        <w:tc>
          <w:tcPr>
            <w:tcW w:type="dxa" w:w="1613"/>
            <w:vAlign w:val="center"/>
            <w:tcMar>
              <w:top w:w="65" w:type="dxa"/>
              <w:start w:w="75" w:type="dxa"/>
              <w:bottom w:w="65" w:type="dxa"/>
              <w:end w:w="75" w:type="dxa"/>
            </w:tcMar>
            <w:shd w:fill="F0F5F5"/>
          </w:tcPr>
          <w:p>
            <w:pPr>
              <w:spacing w:after="0" w:line="259" w:lineRule="auto"/>
            </w:pPr>
            <w:r>
              <w:rPr>
                <w:rFonts w:ascii="Lato" w:hAnsi="Lato"/>
                <w:color w:val="202D33"/>
                <w:sz w:val="15"/>
              </w:rPr>
              <w:t>Carbon / heat</w:t>
            </w:r>
          </w:p>
        </w:tc>
        <w:tc>
          <w:tcPr>
            <w:tcW w:type="dxa" w:w="4118"/>
            <w:vAlign w:val="center"/>
            <w:tcMar>
              <w:top w:w="65" w:type="dxa"/>
              <w:start w:w="75" w:type="dxa"/>
              <w:bottom w:w="65" w:type="dxa"/>
              <w:end w:w="75" w:type="dxa"/>
            </w:tcMar>
            <w:shd w:fill="F0F5F5"/>
          </w:tcPr>
          <w:p>
            <w:pPr>
              <w:spacing w:after="0" w:line="259" w:lineRule="auto"/>
            </w:pPr>
            <w:r>
              <w:rPr>
                <w:rFonts w:ascii="Lato" w:hAnsi="Lato"/>
                <w:color w:val="202D33"/>
                <w:sz w:val="15"/>
              </w:rPr>
              <w:t>Green-cover exposure, sourceable LST/cooling effects, CO2e factors.</w:t>
            </w:r>
          </w:p>
        </w:tc>
        <w:tc>
          <w:tcPr>
            <w:tcW w:type="dxa" w:w="4090"/>
            <w:vAlign w:val="center"/>
            <w:tcMar>
              <w:top w:w="65" w:type="dxa"/>
              <w:start w:w="75" w:type="dxa"/>
              <w:bottom w:w="65" w:type="dxa"/>
              <w:end w:w="75" w:type="dxa"/>
            </w:tcMar>
            <w:shd w:fill="F0F5F5"/>
          </w:tcPr>
          <w:p>
            <w:pPr>
              <w:spacing w:after="0" w:line="259" w:lineRule="auto"/>
            </w:pPr>
            <w:r>
              <w:rPr>
                <w:rFonts w:ascii="Lato" w:hAnsi="Lato"/>
                <w:color w:val="202D33"/>
                <w:sz w:val="15"/>
              </w:rPr>
              <w:t>Remote sensing plus bounded literature estimates; not direct city-wide forecasts.</w:t>
            </w:r>
          </w:p>
        </w:tc>
      </w:tr>
    </w:tbl>
    <w:p>
      <w:pPr>
        <w:spacing w:after="40"/>
      </w:pPr>
    </w:p>
    <w:p>
      <w:pPr>
        <w:pStyle w:val="Heading2"/>
      </w:pPr>
      <w:r>
        <w:t>3.3 Evidence classification and data quality</w:t>
      </w:r>
    </w:p>
    <w:p>
      <w:r>
        <w:t>For every numerical input record: source title/URL, publication or observation date, spatial resolution, geographic scope, units, type (observed / estimated / literature-derived / synthetic), coverage, transformation and known limitations. Use evidence tiers such as A = measured/local, B = credible external model, C = literature transfer with caveats, D = illustrative assumption. Evidence tiers are metadata, not invented statistical confidence probabilities.</w:t>
      </w:r>
    </w:p>
    <w:p>
      <w:pPr>
        <w:pStyle w:val="ListBullet"/>
      </w:pPr>
      <w:r>
        <w:t>Never convert a missing environmental indicator into a zero effect. Mark it missing and either block an affected claim or use a disclosed fallback assumption.</w:t>
      </w:r>
    </w:p>
    <w:p>
      <w:pPr>
        <w:pStyle w:val="ListBullet"/>
      </w:pPr>
      <w:r>
        <w:t>Store frozen, versioned input snapshots before each optimisation run so later updates cannot silently change an earlier result.</w:t>
      </w:r>
    </w:p>
    <w:p>
      <w:pPr>
        <w:pStyle w:val="ListBullet"/>
      </w:pPr>
      <w:r>
        <w:t>If the data do not support a claim at ward level, use the appropriate catchment/aggregate scale in the interface.</w:t>
      </w:r>
    </w:p>
    <w:p>
      <w:pPr>
        <w:pStyle w:val="Heading2"/>
      </w:pPr>
      <w:r>
        <w:t>3.4 Pilot baseline: what is and is not frozen</w:t>
      </w:r>
    </w:p>
    <w:p>
      <w:r>
        <w:t>The development contract is frozen, but measured numerical Bengaluru zone inputs are NOT yet verified. The following 3-zone figures are a synthetic software fixture only. They must be labelled “illustrative data - not observed Bengaluru conditions” wherever they appear. Before final demo, replace individual fields with verified site-specific inputs where available, preserving source identifiers and provenance. If a replacement is unsupported, retain the synthetic value with an explicit D evidence grade instead of fabricating a measurement.</w:t>
      </w:r>
    </w:p>
    <w:tbl>
      <w:tblPr>
        <w:tblW w:type="auto" w:w="0"/>
        <w:jc w:val="center"/>
        <w:tblLayout w:type="fixed"/>
        <w:tblLook w:firstColumn="1" w:firstRow="1" w:lastColumn="0" w:lastRow="0" w:noHBand="0" w:noVBand="1" w:val="04A0"/>
      </w:tblPr>
      <w:tblGrid>
        <w:gridCol w:w="1656"/>
        <w:gridCol w:w="1915"/>
        <w:gridCol w:w="2592"/>
        <w:gridCol w:w="3658"/>
      </w:tblGrid>
      <w:tr>
        <w:trPr>
          <w:tblHeader w:val="true"/>
          <w:cantSplit/>
        </w:trPr>
        <w:tc>
          <w:tcPr>
            <w:tcW w:type="dxa" w:w="1656"/>
            <w:shd w:fill="143A49"/>
            <w:tcMar>
              <w:top w:w="85" w:type="dxa"/>
              <w:start w:w="85" w:type="dxa"/>
              <w:bottom w:w="85" w:type="dxa"/>
              <w:end w:w="85" w:type="dxa"/>
            </w:tcMar>
          </w:tcPr>
          <w:p>
            <w:pPr>
              <w:spacing w:after="0"/>
            </w:pPr>
            <w:r>
              <w:rPr>
                <w:rFonts w:ascii="Lato" w:hAnsi="Lato"/>
                <w:b/>
                <w:color w:val="FFFFFF"/>
                <w:sz w:val="14"/>
              </w:rPr>
              <w:t>Zone fixture</w:t>
            </w:r>
          </w:p>
        </w:tc>
        <w:tc>
          <w:tcPr>
            <w:tcW w:type="dxa" w:w="1915"/>
            <w:shd w:fill="143A49"/>
            <w:tcMar>
              <w:top w:w="85" w:type="dxa"/>
              <w:start w:w="85" w:type="dxa"/>
              <w:bottom w:w="85" w:type="dxa"/>
              <w:end w:w="85" w:type="dxa"/>
            </w:tcMar>
          </w:tcPr>
          <w:p>
            <w:pPr>
              <w:spacing w:after="0"/>
            </w:pPr>
            <w:r>
              <w:rPr>
                <w:rFonts w:ascii="Lato" w:hAnsi="Lato"/>
                <w:b/>
                <w:color w:val="FFFFFF"/>
                <w:sz w:val="14"/>
              </w:rPr>
              <w:t>Area / residents</w:t>
            </w:r>
          </w:p>
        </w:tc>
        <w:tc>
          <w:tcPr>
            <w:tcW w:type="dxa" w:w="2592"/>
            <w:shd w:fill="143A49"/>
            <w:tcMar>
              <w:top w:w="85" w:type="dxa"/>
              <w:start w:w="85" w:type="dxa"/>
              <w:bottom w:w="85" w:type="dxa"/>
              <w:end w:w="85" w:type="dxa"/>
            </w:tcMar>
          </w:tcPr>
          <w:p>
            <w:pPr>
              <w:spacing w:after="0"/>
            </w:pPr>
            <w:r>
              <w:rPr>
                <w:rFonts w:ascii="Lato" w:hAnsi="Lato"/>
                <w:b/>
                <w:color w:val="FFFFFF"/>
                <w:sz w:val="14"/>
              </w:rPr>
              <w:t>Runoff / drainage</w:t>
            </w:r>
          </w:p>
        </w:tc>
        <w:tc>
          <w:tcPr>
            <w:tcW w:type="dxa" w:w="3658"/>
            <w:shd w:fill="143A49"/>
            <w:tcMar>
              <w:top w:w="85" w:type="dxa"/>
              <w:start w:w="85" w:type="dxa"/>
              <w:bottom w:w="85" w:type="dxa"/>
              <w:end w:w="85" w:type="dxa"/>
            </w:tcMar>
          </w:tcPr>
          <w:p>
            <w:pPr>
              <w:spacing w:after="0"/>
            </w:pPr>
            <w:r>
              <w:rPr>
                <w:rFonts w:ascii="Lato" w:hAnsi="Lato"/>
                <w:b/>
                <w:color w:val="FFFFFF"/>
                <w:sz w:val="14"/>
              </w:rPr>
              <w:t>Resources / heat</w:t>
            </w:r>
          </w:p>
        </w:tc>
      </w:tr>
      <w:tr>
        <w:trPr>
          <w:cantSplit/>
        </w:trPr>
        <w:tc>
          <w:tcPr>
            <w:tcW w:type="dxa" w:w="1656"/>
            <w:vAlign w:val="center"/>
            <w:tcMar>
              <w:top w:w="65" w:type="dxa"/>
              <w:start w:w="75" w:type="dxa"/>
              <w:bottom w:w="65" w:type="dxa"/>
              <w:end w:w="75" w:type="dxa"/>
            </w:tcMar>
          </w:tcPr>
          <w:p>
            <w:pPr>
              <w:spacing w:after="0" w:line="259" w:lineRule="auto"/>
            </w:pPr>
            <w:r>
              <w:rPr>
                <w:rFonts w:ascii="Lato" w:hAnsi="Lato"/>
                <w:color w:val="202D33"/>
                <w:sz w:val="14"/>
              </w:rPr>
              <w:t>A — rain stress</w:t>
            </w:r>
          </w:p>
        </w:tc>
        <w:tc>
          <w:tcPr>
            <w:tcW w:type="dxa" w:w="1915"/>
            <w:vAlign w:val="center"/>
            <w:tcMar>
              <w:top w:w="65" w:type="dxa"/>
              <w:start w:w="75" w:type="dxa"/>
              <w:bottom w:w="65" w:type="dxa"/>
              <w:end w:w="75" w:type="dxa"/>
            </w:tcMar>
          </w:tcPr>
          <w:p>
            <w:pPr>
              <w:spacing w:after="0" w:line="259" w:lineRule="auto"/>
            </w:pPr>
            <w:r>
              <w:rPr>
                <w:rFonts w:ascii="Lato" w:hAnsi="Lato"/>
                <w:color w:val="202D33"/>
                <w:sz w:val="14"/>
              </w:rPr>
              <w:t>10 ha; 4,000 people</w:t>
            </w:r>
          </w:p>
        </w:tc>
        <w:tc>
          <w:tcPr>
            <w:tcW w:type="dxa" w:w="2592"/>
            <w:vAlign w:val="center"/>
            <w:tcMar>
              <w:top w:w="65" w:type="dxa"/>
              <w:start w:w="75" w:type="dxa"/>
              <w:bottom w:w="65" w:type="dxa"/>
              <w:end w:w="75" w:type="dxa"/>
            </w:tcMar>
          </w:tcPr>
          <w:p>
            <w:pPr>
              <w:spacing w:after="0" w:line="259" w:lineRule="auto"/>
            </w:pPr>
            <w:r>
              <w:rPr>
                <w:rFonts w:ascii="Lato" w:hAnsi="Lato"/>
                <w:color w:val="202D33"/>
                <w:sz w:val="14"/>
              </w:rPr>
              <w:t>C=0.85; capacity 0.85 m3/s</w:t>
            </w:r>
          </w:p>
        </w:tc>
        <w:tc>
          <w:tcPr>
            <w:tcW w:type="dxa" w:w="3658"/>
            <w:vAlign w:val="center"/>
            <w:tcMar>
              <w:top w:w="65" w:type="dxa"/>
              <w:start w:w="75" w:type="dxa"/>
              <w:bottom w:w="65" w:type="dxa"/>
              <w:end w:w="75" w:type="dxa"/>
            </w:tcMar>
          </w:tcPr>
          <w:p>
            <w:pPr>
              <w:spacing w:after="0" w:line="259" w:lineRule="auto"/>
            </w:pPr>
            <w:r>
              <w:rPr>
                <w:rFonts w:ascii="Lato" w:hAnsi="Lato"/>
                <w:color w:val="202D33"/>
                <w:sz w:val="14"/>
              </w:rPr>
              <w:t>Roof 1,500 m2; land 1,000 m2; heat index 0.72</w:t>
            </w:r>
          </w:p>
        </w:tc>
      </w:tr>
      <w:tr>
        <w:trPr>
          <w:cantSplit/>
        </w:trPr>
        <w:tc>
          <w:tcPr>
            <w:tcW w:type="dxa" w:w="1656"/>
            <w:vAlign w:val="center"/>
            <w:tcMar>
              <w:top w:w="65" w:type="dxa"/>
              <w:start w:w="75" w:type="dxa"/>
              <w:bottom w:w="65" w:type="dxa"/>
              <w:end w:w="75" w:type="dxa"/>
            </w:tcMar>
            <w:shd w:fill="F0F5F5"/>
          </w:tcPr>
          <w:p>
            <w:pPr>
              <w:spacing w:after="0" w:line="259" w:lineRule="auto"/>
            </w:pPr>
            <w:r>
              <w:rPr>
                <w:rFonts w:ascii="Lato" w:hAnsi="Lato"/>
                <w:color w:val="202D33"/>
                <w:sz w:val="14"/>
              </w:rPr>
              <w:t>B — heat stress</w:t>
            </w:r>
          </w:p>
        </w:tc>
        <w:tc>
          <w:tcPr>
            <w:tcW w:type="dxa" w:w="1915"/>
            <w:vAlign w:val="center"/>
            <w:tcMar>
              <w:top w:w="65" w:type="dxa"/>
              <w:start w:w="75" w:type="dxa"/>
              <w:bottom w:w="65" w:type="dxa"/>
              <w:end w:w="75" w:type="dxa"/>
            </w:tcMar>
            <w:shd w:fill="F0F5F5"/>
          </w:tcPr>
          <w:p>
            <w:pPr>
              <w:spacing w:after="0" w:line="259" w:lineRule="auto"/>
            </w:pPr>
            <w:r>
              <w:rPr>
                <w:rFonts w:ascii="Lato" w:hAnsi="Lato"/>
                <w:color w:val="202D33"/>
                <w:sz w:val="14"/>
              </w:rPr>
              <w:t>8 ha; 6,500 people</w:t>
            </w:r>
          </w:p>
        </w:tc>
        <w:tc>
          <w:tcPr>
            <w:tcW w:type="dxa" w:w="2592"/>
            <w:vAlign w:val="center"/>
            <w:tcMar>
              <w:top w:w="65" w:type="dxa"/>
              <w:start w:w="75" w:type="dxa"/>
              <w:bottom w:w="65" w:type="dxa"/>
              <w:end w:w="75" w:type="dxa"/>
            </w:tcMar>
            <w:shd w:fill="F0F5F5"/>
          </w:tcPr>
          <w:p>
            <w:pPr>
              <w:spacing w:after="0" w:line="259" w:lineRule="auto"/>
            </w:pPr>
            <w:r>
              <w:rPr>
                <w:rFonts w:ascii="Lato" w:hAnsi="Lato"/>
                <w:color w:val="202D33"/>
                <w:sz w:val="14"/>
              </w:rPr>
              <w:t>C=0.70; capacity 0.90 m3/s</w:t>
            </w:r>
          </w:p>
        </w:tc>
        <w:tc>
          <w:tcPr>
            <w:tcW w:type="dxa" w:w="3658"/>
            <w:vAlign w:val="center"/>
            <w:tcMar>
              <w:top w:w="65" w:type="dxa"/>
              <w:start w:w="75" w:type="dxa"/>
              <w:bottom w:w="65" w:type="dxa"/>
              <w:end w:w="75" w:type="dxa"/>
            </w:tcMar>
            <w:shd w:fill="F0F5F5"/>
          </w:tcPr>
          <w:p>
            <w:pPr>
              <w:spacing w:after="0" w:line="259" w:lineRule="auto"/>
            </w:pPr>
            <w:r>
              <w:rPr>
                <w:rFonts w:ascii="Lato" w:hAnsi="Lato"/>
                <w:color w:val="202D33"/>
                <w:sz w:val="14"/>
              </w:rPr>
              <w:t>Roof 2,000 m2; land 650 m2; heat index 0.81</w:t>
            </w:r>
          </w:p>
        </w:tc>
      </w:tr>
      <w:tr>
        <w:trPr>
          <w:cantSplit/>
        </w:trPr>
        <w:tc>
          <w:tcPr>
            <w:tcW w:type="dxa" w:w="1656"/>
            <w:vAlign w:val="center"/>
            <w:tcMar>
              <w:top w:w="65" w:type="dxa"/>
              <w:start w:w="75" w:type="dxa"/>
              <w:bottom w:w="65" w:type="dxa"/>
              <w:end w:w="75" w:type="dxa"/>
            </w:tcMar>
          </w:tcPr>
          <w:p>
            <w:pPr>
              <w:spacing w:after="0" w:line="259" w:lineRule="auto"/>
            </w:pPr>
            <w:r>
              <w:rPr>
                <w:rFonts w:ascii="Lato" w:hAnsi="Lato"/>
                <w:color w:val="202D33"/>
                <w:sz w:val="14"/>
              </w:rPr>
              <w:t>C — water stress</w:t>
            </w:r>
          </w:p>
        </w:tc>
        <w:tc>
          <w:tcPr>
            <w:tcW w:type="dxa" w:w="1915"/>
            <w:vAlign w:val="center"/>
            <w:tcMar>
              <w:top w:w="65" w:type="dxa"/>
              <w:start w:w="75" w:type="dxa"/>
              <w:bottom w:w="65" w:type="dxa"/>
              <w:end w:w="75" w:type="dxa"/>
            </w:tcMar>
          </w:tcPr>
          <w:p>
            <w:pPr>
              <w:spacing w:after="0" w:line="259" w:lineRule="auto"/>
            </w:pPr>
            <w:r>
              <w:rPr>
                <w:rFonts w:ascii="Lato" w:hAnsi="Lato"/>
                <w:color w:val="202D33"/>
                <w:sz w:val="14"/>
              </w:rPr>
              <w:t>12 ha; 3,500 people</w:t>
            </w:r>
          </w:p>
        </w:tc>
        <w:tc>
          <w:tcPr>
            <w:tcW w:type="dxa" w:w="2592"/>
            <w:vAlign w:val="center"/>
            <w:tcMar>
              <w:top w:w="65" w:type="dxa"/>
              <w:start w:w="75" w:type="dxa"/>
              <w:bottom w:w="65" w:type="dxa"/>
              <w:end w:w="75" w:type="dxa"/>
            </w:tcMar>
          </w:tcPr>
          <w:p>
            <w:pPr>
              <w:spacing w:after="0" w:line="259" w:lineRule="auto"/>
            </w:pPr>
            <w:r>
              <w:rPr>
                <w:rFonts w:ascii="Lato" w:hAnsi="Lato"/>
                <w:color w:val="202D33"/>
                <w:sz w:val="14"/>
              </w:rPr>
              <w:t>C=0.55; capacity 1.10 m3/s</w:t>
            </w:r>
          </w:p>
        </w:tc>
        <w:tc>
          <w:tcPr>
            <w:tcW w:type="dxa" w:w="3658"/>
            <w:vAlign w:val="center"/>
            <w:tcMar>
              <w:top w:w="65" w:type="dxa"/>
              <w:start w:w="75" w:type="dxa"/>
              <w:bottom w:w="65" w:type="dxa"/>
              <w:end w:w="75" w:type="dxa"/>
            </w:tcMar>
          </w:tcPr>
          <w:p>
            <w:pPr>
              <w:spacing w:after="0" w:line="259" w:lineRule="auto"/>
            </w:pPr>
            <w:r>
              <w:rPr>
                <w:rFonts w:ascii="Lato" w:hAnsi="Lato"/>
                <w:color w:val="202D33"/>
                <w:sz w:val="14"/>
              </w:rPr>
              <w:t>Roof 1,800 m2; land 1,800 m2; heat index 0.58</w:t>
            </w:r>
          </w:p>
        </w:tc>
      </w:tr>
    </w:tbl>
    <w:p>
      <w:pPr>
        <w:spacing w:after="40"/>
      </w:pPr>
    </w:p>
    <w:p>
      <w:pPr>
        <w:pStyle w:val="SmallCaption"/>
      </w:pPr>
      <w:r>
        <w:t>ALL numerical rows above are synthetic engineering/unit-test inputs, not official Yelahanka zone observations. They allow development while sourcing proceeds. No city claim may be made from these values.</w:t>
      </w:r>
    </w:p>
    <w:p>
      <w:pPr>
        <w:pStyle w:val="Heading2"/>
      </w:pPr>
      <w:r>
        <w:t>3.5 Data ingestion pipeline and ownership</w:t>
      </w:r>
    </w:p>
    <w:p>
      <w:pPr>
        <w:pStyle w:val="ListNumber"/>
      </w:pPr>
      <w:r>
        <w:t>Member 3 selects pilot polygons, ensures all area values use one geographic coordinate reference system for geometry and one time horizon for outcomes, then extracts or constructs a versioned GeoJSON/CSV baseline.</w:t>
      </w:r>
    </w:p>
    <w:p>
      <w:pPr>
        <w:pStyle w:val="ListNumber"/>
      </w:pPr>
      <w:r>
        <w:t>Schema validation rejects implausible coordinate bounds, duplicate IDs, negative areas or populations, malformed units, and indicators missing provenance metadata.</w:t>
      </w:r>
    </w:p>
    <w:p>
      <w:pPr>
        <w:pStyle w:val="ListNumber"/>
      </w:pPr>
      <w:r>
        <w:t>Convert rainfall units and timestamps before calculating indicators. Do not infer ward-level rainfall from coarse grids without labelling the spatial-resolution limitation.</w:t>
      </w:r>
    </w:p>
    <w:p>
      <w:pPr>
        <w:pStyle w:val="ListNumber"/>
      </w:pPr>
      <w:r>
        <w:t>Freeze a read-only baseline snapshot with a SHA-256 checksum, catalogue version, source timestamps, model applicability notes and unresolved gaps.</w:t>
      </w:r>
    </w:p>
    <w:p>
      <w:pPr>
        <w:pStyle w:val="ListNumber"/>
      </w:pPr>
      <w:r>
        <w:t>Outputs must carry an explicit mode: observed-data pilot, mixed-evidence pilot, or synthetic demonstration. The mode is displayed in the UI and the decision brief.</w:t>
      </w:r>
    </w:p>
    <w:p>
      <w:pPr>
        <w:pStyle w:val="Heading1"/>
      </w:pPr>
      <w:r>
        <w:t>4. Environmental and economic model specifications</w:t>
      </w:r>
    </w:p>
    <w:p>
      <w:r>
        <w:t>Build separate, documented screening submodels. Each converts input data and a candidate project into an estimated outcome with clear physical limits. The optimiser uses precomputed coefficients for a simplified, auditable portfolio; post-selection evaluation must recheck coupled physical effects. No module should invent outputs through an LLM.</w:t>
      </w:r>
    </w:p>
    <w:p>
      <w:pPr>
        <w:pStyle w:val="Heading2"/>
      </w:pPr>
      <w:r>
        <w:t>4.1 Stormwater / flood screening</w:t>
      </w:r>
    </w:p>
    <w:p>
      <w:r>
        <w:t>Initial peak-flow screening (Rational Method): Q_peak = 0.00278 × C × I × A, where Q is m³/s, C is dimensionless runoff coefficient, I is rainfall intensity in mm/h, and A is area in hectares. Applicability is restricted to appropriate small-catchment assumptions; use consistent time of concentration/design-storm conditions. [R1, R2]</w:t>
      </w:r>
    </w:p>
    <w:p>
      <w:pPr>
        <w:pStyle w:val="ListBullet"/>
      </w:pPr>
      <w:r>
        <w:t>Runoff control projects (green roofs, retention) change effective runoff characteristics or short-term storage within measured/assumed physical capacity.</w:t>
      </w:r>
    </w:p>
    <w:p>
      <w:pPr>
        <w:pStyle w:val="ListBullet"/>
      </w:pPr>
      <w:r>
        <w:t>Conventional drainage upgrades increase conveyance or storage capacity; they do not automatically reduce runoff generation.</w:t>
      </w:r>
    </w:p>
    <w:p>
      <w:pPr>
        <w:pStyle w:val="ListBullet"/>
      </w:pPr>
      <w:r>
        <w:t>Show peak-flow/capacity screening and runoff-retention indicators rather than claiming validated inundation depth or flood damage.</w:t>
      </w:r>
    </w:p>
    <w:p>
      <w:pPr>
        <w:pStyle w:val="Heading2"/>
      </w:pPr>
      <w:r>
        <w:t>4.2 Rainwater capture and usable supply</w:t>
      </w:r>
    </w:p>
    <w:p>
      <w:r>
        <w:t>Potential roof capture: V_potential (m³) = P(mm) × A(m²) × collection efficiency / 1000. Actual usable yield must be capped through a daily or monthly balance using tank capacity, demand, losses and rainfall timing. Water captured cannot exceed rainfall-derived potential; storage at any time cannot exceed tank capacity; total usable supply is demand-limited, but can exceed tank capacity over many refill cycles. [R3]</w:t>
      </w:r>
    </w:p>
    <w:p>
      <w:pPr>
        <w:pStyle w:val="Heading2"/>
      </w:pPr>
      <w:r>
        <w:t>4.3 Urban heat and vegetation</w:t>
      </w:r>
    </w:p>
    <w:p>
      <w:r>
        <w:t>Create an interpretable population-weighted heat-exposure index from selected temperature/LST, vegetation and imperviousness variables; show fixed normalisation bounds. Estimate cooling-related changes conservatively, using evidence-based ranges. Soil moisture and irrigation availability may reduce tree cooling under drought. Do not claim a definite °C cooling result unless separately calibrated. [R4, R5]</w:t>
      </w:r>
    </w:p>
    <w:p>
      <w:pPr>
        <w:pStyle w:val="Heading2"/>
      </w:pPr>
      <w:r>
        <w:t>4.4 Carbon and lifecycle economics</w:t>
      </w:r>
    </w:p>
    <w:p>
      <w:r>
        <w:t>Carbon ledger: net CO2e effect = avoided emissions + sequestration − added lifecycle/maintenance emissions, using consistent time horizons and non-overlapping accounting boundaries. Include only pathways for which coefficients and scope are documented; otherwise report “not estimated”. [R6]</w:t>
      </w:r>
    </w:p>
    <w:p>
      <w:r>
        <w:t>Lifecycle cost: LCC = initial capital + Σ_t (annual maintenance_t / (1 + discount rate)^t). Apply initial capital as a hard constraint; display LCC and modelled physical benefits separately. Call a result ROI only when benefits are credibly monetised; otherwise report cost per unit outcome or transparent cost-effectiveness.</w:t>
      </w:r>
    </w:p>
    <w:p>
      <w:pPr>
        <w:pStyle w:val="Heading2"/>
      </w:pPr>
      <w:r>
        <w:t>4.5 Exact physical-model update rules</w:t>
      </w:r>
    </w:p>
    <w:p>
      <w:pPr>
        <w:pStyle w:val="Heading3"/>
      </w:pPr>
      <w:r>
        <w:t>4.5.1 Tank storage and usable water balance</w:t>
      </w:r>
    </w:p>
    <w:p>
      <w:r>
        <w:t>Choose one time step (daily preferred; monthly acceptable when only monthly inputs are available), and explicitly state the time-step convention. Let P[t] be precipitation-derived captured water (m3), K be tank capacity (m3), D[t] be demand (m3), S[t-1] be carryover storage (m3). For an inflow-then-overflow-then-demand ordering:</w:t>
      </w:r>
    </w:p>
    <w:p>
      <w:pPr>
        <w:pStyle w:val="CodeNote"/>
      </w:pPr>
      <w:r>
        <w:t>A[t] = S[t-1] + P[t]</w:t>
      </w:r>
    </w:p>
    <w:p>
      <w:pPr>
        <w:pStyle w:val="CodeNote"/>
      </w:pPr>
      <w:r>
        <w:t>overflow[t] = max(0, A[t] - K)</w:t>
      </w:r>
    </w:p>
    <w:p>
      <w:pPr>
        <w:pStyle w:val="CodeNote"/>
      </w:pPr>
      <w:r>
        <w:t>available[t] = min(K, A[t])</w:t>
      </w:r>
    </w:p>
    <w:p>
      <w:pPr>
        <w:pStyle w:val="CodeNote"/>
      </w:pPr>
      <w:r>
        <w:t>served[t] = min(D[t], available[t])</w:t>
      </w:r>
    </w:p>
    <w:p>
      <w:pPr>
        <w:pStyle w:val="CodeNote"/>
      </w:pPr>
      <w:r>
        <w:t>S[t] = available[t] - served[t]</w:t>
      </w:r>
    </w:p>
    <w:p>
      <w:pPr>
        <w:pStyle w:val="CodeNote"/>
      </w:pPr>
      <w:r>
        <w:t>Annual usable water = sum(served[t]); always assert 0 &lt;= S[t] &lt;= K.</w:t>
      </w:r>
    </w:p>
    <w:p>
      <w:r>
        <w:t>This conservative discrete balance is a screening model; within-period demand/inflow timing can affect overflow. A tank may refill several times: annual usable yield CAN be greater than K. Run sensitivity checks on time resolution when this changes rankings.</w:t>
      </w:r>
    </w:p>
    <w:p>
      <w:pPr>
        <w:pStyle w:val="Heading3"/>
      </w:pPr>
      <w:r>
        <w:t>4.5.2 Heat-exposure surrogate</w:t>
      </w:r>
    </w:p>
    <w:p>
      <w:r>
        <w:t>For each zone z, define a transparent, dimensionless heat-exposure indicator H[z] in [0,1] using fixed scaled inputs. An illustrative implementation is H[z] = 0.50*Tnorm[z] + 0.30*Impervious[z] + 0.20*(1 - Vegetation[z]), with Tnorm fixed to disclosed temperature bounds. These weights are development assumptions, not a calibrated thermal-comfort model. For a synthetic coding fixture use Tnorm=clip((LST_C-20)/25,0,1), with illustrative 20–45 °C bounds; if LST is missing, retain the explicitly supplied test H[z] rather than pretending it was calculated from observed temperature.</w:t>
      </w:r>
    </w:p>
    <w:p>
      <w:r>
        <w:t>Exposure load = population[z] * H[z]; the benefit from greening is the decrease in exposure load after applying bounded project effects. Under drought, apply a documented soil-moisture/cooling-retention factor in [0,1] and account separately for irrigation demand. Never relabel exposure-index changes as °C.</w:t>
      </w:r>
    </w:p>
    <w:p>
      <w:pPr>
        <w:pStyle w:val="Heading3"/>
      </w:pPr>
      <w:r>
        <w:t>4.5.3 Carbon accounting boundary</w:t>
      </w:r>
    </w:p>
    <w:p>
      <w:r>
        <w:t>Freeze reporting as indicative tonnes CO2e over a common 10-year evaluation horizon (illustrative choice). For each project, distinguish year-1 embodied/installation emissions, annual maintenance emissions, annually avoided operational emissions, and time-dependent vegetation sequestration. Use undiscounted physical tCO2e totals for carbon; use discounting only for money.</w:t>
      </w:r>
    </w:p>
    <w:p>
      <w:r>
        <w:t>If a trustworthy emissions factor cannot be sourced for one pathway, mark the pathway “not estimated”; do not silently assign it zero. Track attribution across green roofs, trees and avoided electricity so the same avoided emissions are not booked twice.</w:t>
      </w:r>
    </w:p>
    <w:p>
      <w:pPr>
        <w:pStyle w:val="Heading3"/>
      </w:pPr>
      <w:r>
        <w:t>4.5.4 Economic reporting boundary</w:t>
      </w:r>
    </w:p>
    <w:p>
      <w:r>
        <w:t>Example development assumption: T=10 years and real discount r=5% per year, subject to explicit revision before presenting as a planning recommendation. For year-indexed O&amp;M cost M[t]: LCC = capex + sum(M[t]/(1+r)^t) for t=1..T. If lifecycle economic benefit is not monetised, report LCC, capex, and per-metric cost-effectiveness, not ROI or a fabricated benefit-cost ratio.</w:t>
      </w:r>
    </w:p>
    <w:p>
      <w:pPr>
        <w:pStyle w:val="Heading2"/>
      </w:pPr>
      <w:r>
        <w:t>4.6 Physical interactions and double-counting controls</w:t>
      </w:r>
    </w:p>
    <w:tbl>
      <w:tblPr>
        <w:tblW w:type="auto" w:w="0"/>
        <w:jc w:val="center"/>
        <w:tblLayout w:type="fixed"/>
        <w:tblLook w:firstColumn="1" w:firstRow="1" w:lastColumn="0" w:lastRow="0" w:noHBand="0" w:noVBand="1" w:val="04A0"/>
      </w:tblPr>
      <w:tblGrid>
        <w:gridCol w:w="2880"/>
        <w:gridCol w:w="6941"/>
      </w:tblGrid>
      <w:tr>
        <w:trPr>
          <w:tblHeader w:val="true"/>
          <w:cantSplit/>
        </w:trPr>
        <w:tc>
          <w:tcPr>
            <w:tcW w:type="dxa" w:w="2880"/>
            <w:shd w:fill="143A49"/>
            <w:tcMar>
              <w:top w:w="85" w:type="dxa"/>
              <w:start w:w="85" w:type="dxa"/>
              <w:bottom w:w="85" w:type="dxa"/>
              <w:end w:w="85" w:type="dxa"/>
            </w:tcMar>
          </w:tcPr>
          <w:p>
            <w:pPr>
              <w:spacing w:after="0"/>
            </w:pPr>
            <w:r>
              <w:rPr>
                <w:rFonts w:ascii="Lato" w:hAnsi="Lato"/>
                <w:b/>
                <w:color w:val="FFFFFF"/>
                <w:sz w:val="15"/>
              </w:rPr>
              <w:t>Potential interaction</w:t>
            </w:r>
          </w:p>
        </w:tc>
        <w:tc>
          <w:tcPr>
            <w:tcW w:type="dxa" w:w="6941"/>
            <w:shd w:fill="143A49"/>
            <w:tcMar>
              <w:top w:w="85" w:type="dxa"/>
              <w:start w:w="85" w:type="dxa"/>
              <w:bottom w:w="85" w:type="dxa"/>
              <w:end w:w="85" w:type="dxa"/>
            </w:tcMar>
          </w:tcPr>
          <w:p>
            <w:pPr>
              <w:spacing w:after="0"/>
            </w:pPr>
            <w:r>
              <w:rPr>
                <w:rFonts w:ascii="Lato" w:hAnsi="Lato"/>
                <w:b/>
                <w:color w:val="FFFFFF"/>
                <w:sz w:val="15"/>
              </w:rPr>
              <w:t>Required treatment</w:t>
            </w:r>
          </w:p>
        </w:tc>
      </w:tr>
      <w:tr>
        <w:trPr>
          <w:cantSplit/>
        </w:trPr>
        <w:tc>
          <w:tcPr>
            <w:tcW w:type="dxa" w:w="2880"/>
            <w:vAlign w:val="center"/>
            <w:tcMar>
              <w:top w:w="65" w:type="dxa"/>
              <w:start w:w="75" w:type="dxa"/>
              <w:bottom w:w="65" w:type="dxa"/>
              <w:end w:w="75" w:type="dxa"/>
            </w:tcMar>
          </w:tcPr>
          <w:p>
            <w:pPr>
              <w:spacing w:after="0" w:line="259" w:lineRule="auto"/>
            </w:pPr>
            <w:r>
              <w:rPr>
                <w:rFonts w:ascii="Lato" w:hAnsi="Lato"/>
                <w:color w:val="202D33"/>
                <w:sz w:val="15"/>
              </w:rPr>
              <w:t>Green roof + roof harvesting</w:t>
            </w:r>
          </w:p>
        </w:tc>
        <w:tc>
          <w:tcPr>
            <w:tcW w:type="dxa" w:w="6941"/>
            <w:vAlign w:val="center"/>
            <w:tcMar>
              <w:top w:w="65" w:type="dxa"/>
              <w:start w:w="75" w:type="dxa"/>
              <w:bottom w:w="65" w:type="dxa"/>
              <w:end w:w="75" w:type="dxa"/>
            </w:tcMar>
          </w:tcPr>
          <w:p>
            <w:pPr>
              <w:spacing w:after="0" w:line="259" w:lineRule="auto"/>
            </w:pPr>
            <w:r>
              <w:rPr>
                <w:rFonts w:ascii="Lato" w:hAnsi="Lato"/>
                <w:color w:val="202D33"/>
                <w:sz w:val="15"/>
              </w:rPr>
              <w:t>Share eligible roof capacity; avoid applying two full-area benefits to one roof without a validated interaction.</w:t>
            </w:r>
          </w:p>
        </w:tc>
      </w:tr>
      <w:tr>
        <w:trPr>
          <w:cantSplit/>
        </w:trPr>
        <w:tc>
          <w:tcPr>
            <w:tcW w:type="dxa" w:w="2880"/>
            <w:vAlign w:val="center"/>
            <w:tcMar>
              <w:top w:w="65" w:type="dxa"/>
              <w:start w:w="75" w:type="dxa"/>
              <w:bottom w:w="65" w:type="dxa"/>
              <w:end w:w="75" w:type="dxa"/>
            </w:tcMar>
            <w:shd w:fill="F0F5F5"/>
          </w:tcPr>
          <w:p>
            <w:pPr>
              <w:spacing w:after="0" w:line="259" w:lineRule="auto"/>
            </w:pPr>
            <w:r>
              <w:rPr>
                <w:rFonts w:ascii="Lato" w:hAnsi="Lato"/>
                <w:color w:val="202D33"/>
                <w:sz w:val="15"/>
              </w:rPr>
              <w:t>Tree canopy + drought</w:t>
            </w:r>
          </w:p>
        </w:tc>
        <w:tc>
          <w:tcPr>
            <w:tcW w:type="dxa" w:w="6941"/>
            <w:vAlign w:val="center"/>
            <w:tcMar>
              <w:top w:w="65" w:type="dxa"/>
              <w:start w:w="75" w:type="dxa"/>
              <w:bottom w:w="65" w:type="dxa"/>
              <w:end w:w="75" w:type="dxa"/>
            </w:tcMar>
            <w:shd w:fill="F0F5F5"/>
          </w:tcPr>
          <w:p>
            <w:pPr>
              <w:spacing w:after="0" w:line="259" w:lineRule="auto"/>
            </w:pPr>
            <w:r>
              <w:rPr>
                <w:rFonts w:ascii="Lato" w:hAnsi="Lato"/>
                <w:color w:val="202D33"/>
                <w:sz w:val="15"/>
              </w:rPr>
              <w:t>Account for irrigation and reduced evaporative cooling when water availability decreases.</w:t>
            </w:r>
          </w:p>
        </w:tc>
      </w:tr>
      <w:tr>
        <w:trPr>
          <w:cantSplit/>
        </w:trPr>
        <w:tc>
          <w:tcPr>
            <w:tcW w:type="dxa" w:w="2880"/>
            <w:vAlign w:val="center"/>
            <w:tcMar>
              <w:top w:w="65" w:type="dxa"/>
              <w:start w:w="75" w:type="dxa"/>
              <w:bottom w:w="65" w:type="dxa"/>
              <w:end w:w="75" w:type="dxa"/>
            </w:tcMar>
          </w:tcPr>
          <w:p>
            <w:pPr>
              <w:spacing w:after="0" w:line="259" w:lineRule="auto"/>
            </w:pPr>
            <w:r>
              <w:rPr>
                <w:rFonts w:ascii="Lato" w:hAnsi="Lato"/>
                <w:color w:val="202D33"/>
                <w:sz w:val="15"/>
              </w:rPr>
              <w:t>Drainage + infiltration/retention</w:t>
            </w:r>
          </w:p>
        </w:tc>
        <w:tc>
          <w:tcPr>
            <w:tcW w:type="dxa" w:w="6941"/>
            <w:vAlign w:val="center"/>
            <w:tcMar>
              <w:top w:w="65" w:type="dxa"/>
              <w:start w:w="75" w:type="dxa"/>
              <w:bottom w:w="65" w:type="dxa"/>
              <w:end w:w="75" w:type="dxa"/>
            </w:tcMar>
          </w:tcPr>
          <w:p>
            <w:pPr>
              <w:spacing w:after="0" w:line="259" w:lineRule="auto"/>
            </w:pPr>
            <w:r>
              <w:rPr>
                <w:rFonts w:ascii="Lato" w:hAnsi="Lato"/>
                <w:color w:val="202D33"/>
                <w:sz w:val="15"/>
              </w:rPr>
              <w:t>Separate generated runoff, retained volume and system conveyance; prevent double-counting reduction.</w:t>
            </w:r>
          </w:p>
        </w:tc>
      </w:tr>
      <w:tr>
        <w:trPr>
          <w:cantSplit/>
        </w:trPr>
        <w:tc>
          <w:tcPr>
            <w:tcW w:type="dxa" w:w="2880"/>
            <w:vAlign w:val="center"/>
            <w:tcMar>
              <w:top w:w="65" w:type="dxa"/>
              <w:start w:w="75" w:type="dxa"/>
              <w:bottom w:w="65" w:type="dxa"/>
              <w:end w:w="75" w:type="dxa"/>
            </w:tcMar>
            <w:shd w:fill="F0F5F5"/>
          </w:tcPr>
          <w:p>
            <w:pPr>
              <w:spacing w:after="0" w:line="259" w:lineRule="auto"/>
            </w:pPr>
            <w:r>
              <w:rPr>
                <w:rFonts w:ascii="Lato" w:hAnsi="Lato"/>
                <w:color w:val="202D33"/>
                <w:sz w:val="15"/>
              </w:rPr>
              <w:t>Carbon + cooling electricity savings</w:t>
            </w:r>
          </w:p>
        </w:tc>
        <w:tc>
          <w:tcPr>
            <w:tcW w:type="dxa" w:w="6941"/>
            <w:vAlign w:val="center"/>
            <w:tcMar>
              <w:top w:w="65" w:type="dxa"/>
              <w:start w:w="75" w:type="dxa"/>
              <w:bottom w:w="65" w:type="dxa"/>
              <w:end w:w="75" w:type="dxa"/>
            </w:tcMar>
            <w:shd w:fill="F0F5F5"/>
          </w:tcPr>
          <w:p>
            <w:pPr>
              <w:spacing w:after="0" w:line="259" w:lineRule="auto"/>
            </w:pPr>
            <w:r>
              <w:rPr>
                <w:rFonts w:ascii="Lato" w:hAnsi="Lato"/>
                <w:color w:val="202D33"/>
                <w:sz w:val="15"/>
              </w:rPr>
              <w:t>Do not count the same avoided emissions twice across indirect pathways.</w:t>
            </w:r>
          </w:p>
        </w:tc>
      </w:tr>
      <w:tr>
        <w:trPr>
          <w:cantSplit/>
        </w:trPr>
        <w:tc>
          <w:tcPr>
            <w:tcW w:type="dxa" w:w="2880"/>
            <w:vAlign w:val="center"/>
            <w:tcMar>
              <w:top w:w="65" w:type="dxa"/>
              <w:start w:w="75" w:type="dxa"/>
              <w:bottom w:w="65" w:type="dxa"/>
              <w:end w:w="75" w:type="dxa"/>
            </w:tcMar>
          </w:tcPr>
          <w:p>
            <w:pPr>
              <w:spacing w:after="0" w:line="259" w:lineRule="auto"/>
            </w:pPr>
            <w:r>
              <w:rPr>
                <w:rFonts w:ascii="Lato" w:hAnsi="Lato"/>
                <w:color w:val="202D33"/>
                <w:sz w:val="15"/>
              </w:rPr>
              <w:t>Multiple projects in one zone</w:t>
            </w:r>
          </w:p>
        </w:tc>
        <w:tc>
          <w:tcPr>
            <w:tcW w:type="dxa" w:w="6941"/>
            <w:vAlign w:val="center"/>
            <w:tcMar>
              <w:top w:w="65" w:type="dxa"/>
              <w:start w:w="75" w:type="dxa"/>
              <w:bottom w:w="65" w:type="dxa"/>
              <w:end w:w="75" w:type="dxa"/>
            </w:tcMar>
          </w:tcPr>
          <w:p>
            <w:pPr>
              <w:spacing w:after="0" w:line="259" w:lineRule="auto"/>
            </w:pPr>
            <w:r>
              <w:rPr>
                <w:rFonts w:ascii="Lato" w:hAnsi="Lato"/>
                <w:color w:val="202D33"/>
                <w:sz w:val="15"/>
              </w:rPr>
              <w:t>Apply project quantity caps and recompute portfolio effect; enforce documented interaction rules.</w:t>
            </w:r>
          </w:p>
        </w:tc>
      </w:tr>
    </w:tbl>
    <w:p>
      <w:pPr>
        <w:spacing w:after="40"/>
      </w:pPr>
    </w:p>
    <w:p>
      <w:pPr>
        <w:pStyle w:val="Heading1"/>
      </w:pPr>
      <w:r>
        <w:t>5. Intervention catalogue and optimiser</w:t>
      </w:r>
    </w:p>
    <w:p>
      <w:pPr>
        <w:pStyle w:val="Heading2"/>
      </w:pPr>
      <w:r>
        <w:t>5.1 Standardised project-unit fields</w:t>
      </w:r>
    </w:p>
    <w:p>
      <w:r>
        <w:t>Each project unit must have project_id, zone_id, intervention_type, eligibility, unit_count_cap, footprint/roof/land need, unit capital cost, annual maintenance, expected life, baseline requirements, climate-dependent benefit vector, source/assumption references, requires/excludes relationships and permitted commitments.</w:t>
      </w:r>
    </w:p>
    <w:p>
      <w:pPr>
        <w:pStyle w:val="Heading2"/>
      </w:pPr>
      <w:r>
        <w:t>5.1a Synthetic intervention catalogue for a first runnable build</w:t>
      </w:r>
    </w:p>
    <w:p>
      <w:r>
        <w:t>The following defaults are deliberately invented SOFTWARE TEST VALUES, not sourced Bengaluru construction quotations or validated effectiveness factors. Generate one eligible candidate of each type in each synthetic zone (12 binary candidates), then apply each zone’s shared capacity limits. These toy values must carry evidence grade D and “illustrative only” in app and exports. Replace with justified prices and benefits before making policy-level claims.</w:t>
      </w:r>
    </w:p>
    <w:tbl>
      <w:tblPr>
        <w:tblW w:type="auto" w:w="0"/>
        <w:jc w:val="center"/>
        <w:tblLayout w:type="fixed"/>
        <w:tblLook w:firstColumn="1" w:firstRow="1" w:lastColumn="0" w:lastRow="0" w:noHBand="0" w:noVBand="1" w:val="04A0"/>
      </w:tblPr>
      <w:tblGrid>
        <w:gridCol w:w="1757"/>
        <w:gridCol w:w="1483"/>
        <w:gridCol w:w="6581"/>
      </w:tblGrid>
      <w:tr>
        <w:trPr>
          <w:tblHeader w:val="true"/>
          <w:cantSplit/>
        </w:trPr>
        <w:tc>
          <w:tcPr>
            <w:tcW w:type="dxa" w:w="1757"/>
            <w:shd w:fill="143A49"/>
            <w:tcMar>
              <w:top w:w="85" w:type="dxa"/>
              <w:start w:w="85" w:type="dxa"/>
              <w:bottom w:w="85" w:type="dxa"/>
              <w:end w:w="85" w:type="dxa"/>
            </w:tcMar>
          </w:tcPr>
          <w:p>
            <w:pPr>
              <w:spacing w:after="0"/>
            </w:pPr>
            <w:r>
              <w:rPr>
                <w:rFonts w:ascii="Lato" w:hAnsi="Lato"/>
                <w:b/>
                <w:color w:val="FFFFFF"/>
                <w:sz w:val="14"/>
              </w:rPr>
              <w:t>Intervention unit</w:t>
            </w:r>
          </w:p>
        </w:tc>
        <w:tc>
          <w:tcPr>
            <w:tcW w:type="dxa" w:w="1483"/>
            <w:shd w:fill="143A49"/>
            <w:tcMar>
              <w:top w:w="85" w:type="dxa"/>
              <w:start w:w="85" w:type="dxa"/>
              <w:bottom w:w="85" w:type="dxa"/>
              <w:end w:w="85" w:type="dxa"/>
            </w:tcMar>
          </w:tcPr>
          <w:p>
            <w:pPr>
              <w:spacing w:after="0"/>
            </w:pPr>
            <w:r>
              <w:rPr>
                <w:rFonts w:ascii="Lato" w:hAnsi="Lato"/>
                <w:b/>
                <w:color w:val="FFFFFF"/>
                <w:sz w:val="14"/>
              </w:rPr>
              <w:t>Synthetic capex</w:t>
            </w:r>
          </w:p>
        </w:tc>
        <w:tc>
          <w:tcPr>
            <w:tcW w:type="dxa" w:w="6581"/>
            <w:shd w:fill="143A49"/>
            <w:tcMar>
              <w:top w:w="85" w:type="dxa"/>
              <w:start w:w="85" w:type="dxa"/>
              <w:bottom w:w="85" w:type="dxa"/>
              <w:end w:w="85" w:type="dxa"/>
            </w:tcMar>
          </w:tcPr>
          <w:p>
            <w:pPr>
              <w:spacing w:after="0"/>
            </w:pPr>
            <w:r>
              <w:rPr>
                <w:rFonts w:ascii="Lato" w:hAnsi="Lato"/>
                <w:b/>
                <w:color w:val="FFFFFF"/>
                <w:sz w:val="14"/>
              </w:rPr>
              <w:t>Unit physical configuration / constraint</w:t>
            </w:r>
          </w:p>
        </w:tc>
      </w:tr>
      <w:tr>
        <w:trPr>
          <w:cantSplit/>
        </w:trPr>
        <w:tc>
          <w:tcPr>
            <w:tcW w:type="dxa" w:w="1757"/>
            <w:vAlign w:val="center"/>
            <w:tcMar>
              <w:top w:w="65" w:type="dxa"/>
              <w:start w:w="75" w:type="dxa"/>
              <w:bottom w:w="65" w:type="dxa"/>
              <w:end w:w="75" w:type="dxa"/>
            </w:tcMar>
          </w:tcPr>
          <w:p>
            <w:pPr>
              <w:spacing w:after="0" w:line="259" w:lineRule="auto"/>
            </w:pPr>
            <w:r>
              <w:rPr>
                <w:rFonts w:ascii="Lato" w:hAnsi="Lato"/>
                <w:color w:val="202D33"/>
                <w:sz w:val="14"/>
              </w:rPr>
              <w:t>Green roof</w:t>
            </w:r>
          </w:p>
        </w:tc>
        <w:tc>
          <w:tcPr>
            <w:tcW w:type="dxa" w:w="1483"/>
            <w:vAlign w:val="center"/>
            <w:tcMar>
              <w:top w:w="65" w:type="dxa"/>
              <w:start w:w="75" w:type="dxa"/>
              <w:bottom w:w="65" w:type="dxa"/>
              <w:end w:w="75" w:type="dxa"/>
            </w:tcMar>
          </w:tcPr>
          <w:p>
            <w:pPr>
              <w:spacing w:after="0" w:line="259" w:lineRule="auto"/>
            </w:pPr>
            <w:r>
              <w:rPr>
                <w:rFonts w:ascii="Lato" w:hAnsi="Lato"/>
                <w:color w:val="202D33"/>
                <w:sz w:val="14"/>
              </w:rPr>
              <w:t>INR 3,000,000</w:t>
            </w:r>
          </w:p>
        </w:tc>
        <w:tc>
          <w:tcPr>
            <w:tcW w:type="dxa" w:w="6581"/>
            <w:vAlign w:val="center"/>
            <w:tcMar>
              <w:top w:w="65" w:type="dxa"/>
              <w:start w:w="75" w:type="dxa"/>
              <w:bottom w:w="65" w:type="dxa"/>
              <w:end w:w="75" w:type="dxa"/>
            </w:tcMar>
          </w:tcPr>
          <w:p>
            <w:pPr>
              <w:spacing w:after="0" w:line="259" w:lineRule="auto"/>
            </w:pPr>
            <w:r>
              <w:rPr>
                <w:rFonts w:ascii="Lato" w:hAnsi="Lato"/>
                <w:color w:val="202D33"/>
                <w:sz w:val="14"/>
              </w:rPr>
              <w:t>250 m2 dedicated eligible roof; maximum retained event depth 15 mm over this roof (3.75 m3), subject to climate and antecedent storage.</w:t>
            </w:r>
          </w:p>
        </w:tc>
      </w:tr>
      <w:tr>
        <w:trPr>
          <w:cantSplit/>
        </w:trPr>
        <w:tc>
          <w:tcPr>
            <w:tcW w:type="dxa" w:w="1757"/>
            <w:vAlign w:val="center"/>
            <w:tcMar>
              <w:top w:w="65" w:type="dxa"/>
              <w:start w:w="75" w:type="dxa"/>
              <w:bottom w:w="65" w:type="dxa"/>
              <w:end w:w="75" w:type="dxa"/>
            </w:tcMar>
            <w:shd w:fill="F0F5F5"/>
          </w:tcPr>
          <w:p>
            <w:pPr>
              <w:spacing w:after="0" w:line="259" w:lineRule="auto"/>
            </w:pPr>
            <w:r>
              <w:rPr>
                <w:rFonts w:ascii="Lato" w:hAnsi="Lato"/>
                <w:color w:val="202D33"/>
                <w:sz w:val="14"/>
              </w:rPr>
              <w:t>Urban forest</w:t>
            </w:r>
          </w:p>
        </w:tc>
        <w:tc>
          <w:tcPr>
            <w:tcW w:type="dxa" w:w="1483"/>
            <w:vAlign w:val="center"/>
            <w:tcMar>
              <w:top w:w="65" w:type="dxa"/>
              <w:start w:w="75" w:type="dxa"/>
              <w:bottom w:w="65" w:type="dxa"/>
              <w:end w:w="75" w:type="dxa"/>
            </w:tcMar>
            <w:shd w:fill="F0F5F5"/>
          </w:tcPr>
          <w:p>
            <w:pPr>
              <w:spacing w:after="0" w:line="259" w:lineRule="auto"/>
            </w:pPr>
            <w:r>
              <w:rPr>
                <w:rFonts w:ascii="Lato" w:hAnsi="Lato"/>
                <w:color w:val="202D33"/>
                <w:sz w:val="14"/>
              </w:rPr>
              <w:t>INR 2,000,000</w:t>
            </w:r>
          </w:p>
        </w:tc>
        <w:tc>
          <w:tcPr>
            <w:tcW w:type="dxa" w:w="6581"/>
            <w:vAlign w:val="center"/>
            <w:tcMar>
              <w:top w:w="65" w:type="dxa"/>
              <w:start w:w="75" w:type="dxa"/>
              <w:bottom w:w="65" w:type="dxa"/>
              <w:end w:w="75" w:type="dxa"/>
            </w:tcMar>
            <w:shd w:fill="F0F5F5"/>
          </w:tcPr>
          <w:p>
            <w:pPr>
              <w:spacing w:after="0" w:line="259" w:lineRule="auto"/>
            </w:pPr>
            <w:r>
              <w:rPr>
                <w:rFonts w:ascii="Lato" w:hAnsi="Lato"/>
                <w:color w:val="202D33"/>
                <w:sz w:val="14"/>
              </w:rPr>
              <w:t>300 m2 eligible ground; illustrative irrigation need 8 m3/month; cooling effect requires separately labelled coefficient.</w:t>
            </w:r>
          </w:p>
        </w:tc>
      </w:tr>
      <w:tr>
        <w:trPr>
          <w:cantSplit/>
        </w:trPr>
        <w:tc>
          <w:tcPr>
            <w:tcW w:type="dxa" w:w="1757"/>
            <w:vAlign w:val="center"/>
            <w:tcMar>
              <w:top w:w="65" w:type="dxa"/>
              <w:start w:w="75" w:type="dxa"/>
              <w:bottom w:w="65" w:type="dxa"/>
              <w:end w:w="75" w:type="dxa"/>
            </w:tcMar>
          </w:tcPr>
          <w:p>
            <w:pPr>
              <w:spacing w:after="0" w:line="259" w:lineRule="auto"/>
            </w:pPr>
            <w:r>
              <w:rPr>
                <w:rFonts w:ascii="Lato" w:hAnsi="Lato"/>
                <w:color w:val="202D33"/>
                <w:sz w:val="14"/>
              </w:rPr>
              <w:t>Rainwater harvesting</w:t>
            </w:r>
          </w:p>
        </w:tc>
        <w:tc>
          <w:tcPr>
            <w:tcW w:type="dxa" w:w="1483"/>
            <w:vAlign w:val="center"/>
            <w:tcMar>
              <w:top w:w="65" w:type="dxa"/>
              <w:start w:w="75" w:type="dxa"/>
              <w:bottom w:w="65" w:type="dxa"/>
              <w:end w:w="75" w:type="dxa"/>
            </w:tcMar>
          </w:tcPr>
          <w:p>
            <w:pPr>
              <w:spacing w:after="0" w:line="259" w:lineRule="auto"/>
            </w:pPr>
            <w:r>
              <w:rPr>
                <w:rFonts w:ascii="Lato" w:hAnsi="Lato"/>
                <w:color w:val="202D33"/>
                <w:sz w:val="14"/>
              </w:rPr>
              <w:t>INR 1,200,000</w:t>
            </w:r>
          </w:p>
        </w:tc>
        <w:tc>
          <w:tcPr>
            <w:tcW w:type="dxa" w:w="6581"/>
            <w:vAlign w:val="center"/>
            <w:tcMar>
              <w:top w:w="65" w:type="dxa"/>
              <w:start w:w="75" w:type="dxa"/>
              <w:bottom w:w="65" w:type="dxa"/>
              <w:end w:w="75" w:type="dxa"/>
            </w:tcMar>
          </w:tcPr>
          <w:p>
            <w:pPr>
              <w:spacing w:after="0" w:line="259" w:lineRule="auto"/>
            </w:pPr>
            <w:r>
              <w:rPr>
                <w:rFonts w:ascii="Lato" w:hAnsi="Lato"/>
                <w:color w:val="202D33"/>
                <w:sz w:val="14"/>
              </w:rPr>
              <w:t>200 m2 catchment roof; tank size 20 m3; useful yield computed from rainfall/storage/demand time series.</w:t>
            </w:r>
          </w:p>
        </w:tc>
      </w:tr>
      <w:tr>
        <w:trPr>
          <w:cantSplit/>
        </w:trPr>
        <w:tc>
          <w:tcPr>
            <w:tcW w:type="dxa" w:w="1757"/>
            <w:vAlign w:val="center"/>
            <w:tcMar>
              <w:top w:w="65" w:type="dxa"/>
              <w:start w:w="75" w:type="dxa"/>
              <w:bottom w:w="65" w:type="dxa"/>
              <w:end w:w="75" w:type="dxa"/>
            </w:tcMar>
            <w:shd w:fill="F0F5F5"/>
          </w:tcPr>
          <w:p>
            <w:pPr>
              <w:spacing w:after="0" w:line="259" w:lineRule="auto"/>
            </w:pPr>
            <w:r>
              <w:rPr>
                <w:rFonts w:ascii="Lato" w:hAnsi="Lato"/>
                <w:color w:val="202D33"/>
                <w:sz w:val="14"/>
              </w:rPr>
              <w:t>Drainage upgrade</w:t>
            </w:r>
          </w:p>
        </w:tc>
        <w:tc>
          <w:tcPr>
            <w:tcW w:type="dxa" w:w="1483"/>
            <w:vAlign w:val="center"/>
            <w:tcMar>
              <w:top w:w="65" w:type="dxa"/>
              <w:start w:w="75" w:type="dxa"/>
              <w:bottom w:w="65" w:type="dxa"/>
              <w:end w:w="75" w:type="dxa"/>
            </w:tcMar>
            <w:shd w:fill="F0F5F5"/>
          </w:tcPr>
          <w:p>
            <w:pPr>
              <w:spacing w:after="0" w:line="259" w:lineRule="auto"/>
            </w:pPr>
            <w:r>
              <w:rPr>
                <w:rFonts w:ascii="Lato" w:hAnsi="Lato"/>
                <w:color w:val="202D33"/>
                <w:sz w:val="14"/>
              </w:rPr>
              <w:t>INR 5,000,000</w:t>
            </w:r>
          </w:p>
        </w:tc>
        <w:tc>
          <w:tcPr>
            <w:tcW w:type="dxa" w:w="6581"/>
            <w:vAlign w:val="center"/>
            <w:tcMar>
              <w:top w:w="65" w:type="dxa"/>
              <w:start w:w="75" w:type="dxa"/>
              <w:bottom w:w="65" w:type="dxa"/>
              <w:end w:w="75" w:type="dxa"/>
            </w:tcMar>
            <w:shd w:fill="F0F5F5"/>
          </w:tcPr>
          <w:p>
            <w:pPr>
              <w:spacing w:after="0" w:line="259" w:lineRule="auto"/>
            </w:pPr>
            <w:r>
              <w:rPr>
                <w:rFonts w:ascii="Lato" w:hAnsi="Lato"/>
                <w:color w:val="202D33"/>
                <w:sz w:val="14"/>
              </w:rPr>
              <w:t>Upgrade one eligible reference asset; +0.12 m3/s illustrative capacity change; does not change runoff generated.</w:t>
            </w:r>
          </w:p>
        </w:tc>
      </w:tr>
    </w:tbl>
    <w:p>
      <w:pPr>
        <w:spacing w:after="40"/>
      </w:pPr>
    </w:p>
    <w:p>
      <w:r>
        <w:t>For the coding fixture use a displayed default capital budget of INR 20,000,000 (2 crore), with editable range. This is NOT a budget allocated to Yelahanka. Give each type a separate life/maintenance record (source or D-grade assumption) before lifecycle-cost calculations. Do not generate artificial positive carbon/heat benefits when coefficients are not supported.</w:t>
      </w:r>
    </w:p>
    <w:p>
      <w:pPr>
        <w:pStyle w:val="Heading2"/>
      </w:pPr>
      <w:r>
        <w:t>5.2 Decision variables and objective strategy</w:t>
      </w:r>
    </w:p>
    <w:p>
      <w:r>
        <w:t>Let x[z,j,k] denote the nonnegative integer count (often binary 0/1) of candidate option k for intervention j in zone z. Solve for feasible investments that address flood, usable-water, heat-exposure and carbon goals alongside economic cost and equity. Keep each physical outcome in its original unit; convert to normalised benefit dimensions using fixed, published or disclosed bounds solely for optimisation/scoring.</w:t>
      </w:r>
    </w:p>
    <w:p>
      <w:r>
        <w:t>Primary solver: PuLP with CBC (or SciPy MILP if dependency constraints demand). Use a user-visible weighted objective for the Balanced/Flood-first/Water-first/Heat-first/Equity-first modes; enforce budget, eligibility and minimum safeguards as hard constraints. Collect multiple feasible candidates and show non-dominated alternatives from the candidates actually generated. Do not claim a mathematically complete Pareto frontier unless computed.</w:t>
      </w:r>
    </w:p>
    <w:p>
      <w:pPr>
        <w:pStyle w:val="Heading2"/>
      </w:pPr>
      <w:r>
        <w:t>5.3 Hard constraints and fairness</w:t>
      </w:r>
    </w:p>
    <w:p>
      <w:pPr>
        <w:pStyle w:val="ListBullet"/>
      </w:pPr>
      <w:r>
        <w:t>Capital budget: Σ(project unit capex × chosen units) ≤ available investment capital.</w:t>
      </w:r>
    </w:p>
    <w:p>
      <w:pPr>
        <w:pStyle w:val="ListBullet"/>
      </w:pPr>
      <w:r>
        <w:t>Physical capacities: eligible roof area, plantable land, drainage upgrade capacity, maximum tanks/project count and site-specific installation requirements.</w:t>
      </w:r>
    </w:p>
    <w:p>
      <w:pPr>
        <w:pStyle w:val="ListBullet"/>
      </w:pPr>
      <w:r>
        <w:t>Intervention dependencies/exclusions: minimum suitable site requirements; shared roof/land resources; unavailable or unverified projects blocked.</w:t>
      </w:r>
    </w:p>
    <w:p>
      <w:pPr>
        <w:pStyle w:val="ListBullet"/>
      </w:pPr>
      <w:r>
        <w:t>Equity: an explicit benefit-floor or penalty/weight for exposure-normalised improvements in designated vulnerable zones; show all group outcomes. Infeasible thresholds must be reported and explained.</w:t>
      </w:r>
    </w:p>
    <w:p>
      <w:pPr>
        <w:pStyle w:val="ListBullet"/>
      </w:pPr>
      <w:r>
        <w:t>Commitment status (advanced): fixed/completed projects remain in a replan; available budget applies only to the remaining uncommitted portfolio.</w:t>
      </w:r>
    </w:p>
    <w:p>
      <w:pPr>
        <w:pStyle w:val="Heading2"/>
      </w:pPr>
      <w:r>
        <w:t>5.4 Optimiser output</w:t>
      </w:r>
    </w:p>
    <w:p>
      <w:r>
        <w:t>Return solver status, applied weights, total capex/LCC, selected project units and zones, constraint utilisation, per-zone benefits and residual risks, physical and normalized objective values, alternative portfolio IDs, model assumptions, runtime and a concise solver diagnostic. A failed or infeasible run must never be shown as successful.</w:t>
      </w:r>
    </w:p>
    <w:p>
      <w:pPr>
        <w:pStyle w:val="Heading2"/>
      </w:pPr>
      <w:r>
        <w:t>5.5 Comparison baseline</w:t>
      </w:r>
    </w:p>
    <w:p>
      <w:r>
        <w:t>Build “no investment” and a feasible equal-spend or transparent conventional-priority baseline. Apply exactly the same budget, candidate eligibility, climate inputs and environmental evaluator to all strategies. The optimised plan may win on its chosen objective while losing on other metrics; report both honestly.</w:t>
      </w:r>
    </w:p>
    <w:p>
      <w:pPr>
        <w:pStyle w:val="Heading2"/>
      </w:pPr>
      <w:r>
        <w:t>5.6 Mathematical formulation: implementable MILP</w:t>
      </w:r>
    </w:p>
    <w:p>
      <w:r>
        <w:t>Indices: k = eligible candidate investment unit (across every site, zone and all four intervention types); z = zone; m in {F, W, H, G} is flood/overflow exposure, usable water, heat-exposure and net CO2e benefit; s = scenario. x[k] is binary for an indivisible unit, or bounded nonnegative integer for approved repeatable units. Only a prevalidated candidate may enter the feasible set.</w:t>
      </w:r>
    </w:p>
    <w:p>
      <w:r>
        <w:t>Required scenario coefficient b[k,m,s] is the estimated PHYSICAL benefit of one unit, evaluated against the same no-investment baseline; negative coefficients for harmful effects must be preserved. All b are generated by source-labelled domain models, never by Bedrock. For the initial MILP, freeze a single linearised coefficient matrix for each scenario. Keep raw benefits in their original units.</w:t>
      </w:r>
    </w:p>
    <w:p>
      <w:r>
        <w:t>Use fixed reference scales tau[m] &gt; 0 (e.g., policy targets or documented, fixed reference maxima) that are unchanged across the competing portfolios and named shock comparisons. Normalised delta[m] = sum(b[k,m,s]*x[k])/tau[m]. Do not dynamically re-normalise each portfolio with its own extrema; do not discard adverse (negative) benefits.</w:t>
      </w:r>
    </w:p>
    <w:p>
      <w:r>
        <w:t>The scalarised initial objective is: MAX sum_m w[m]*delta[m] + wE*EquityGain(x) - wC*(sum(LCC[k]*x[k])/tauCost). Report the original metric vector alongside the score. All displayed weights are nonnegative and normalised to sum to one (including cost/equity if selected). A mode is simply a documented weight preset, not a separate secret scoring rule.</w:t>
      </w:r>
    </w:p>
    <w:p>
      <w:r>
        <w:t>EquityGain(x) = sum_z v[z] * RiskReduction[z,x] / max(Population[z],1) / tauEquity, where v[z] is a publicly visible vulnerability multiplier with a disclosed source or synthetic status. Because environmental effects and equity can share underlying quantities, describe equity as a DISTRIBUTION preference, not additional physical risk reduction.</w:t>
      </w:r>
    </w:p>
    <w:p>
      <w:pPr>
        <w:pStyle w:val="Heading2"/>
      </w:pPr>
      <w:r>
        <w:t>5.7 Hard constraints and edge-state semantics</w:t>
      </w:r>
    </w:p>
    <w:p>
      <w:pPr>
        <w:pStyle w:val="ListBullet"/>
      </w:pPr>
      <w:r>
        <w:t>Capital: sum(capex[k]*x[k]) &lt;= Bavailable. Treat lifecycle cost as a separate objective/reporting metric unless a lifecycle spending ceiling is explicitly defined.</w:t>
      </w:r>
    </w:p>
    <w:p>
      <w:pPr>
        <w:pStyle w:val="ListBullet"/>
      </w:pPr>
      <w:r>
        <w:t>Site/land/roof: for each physical resource r at a site, sum(usage[k,r]*x[k]) &lt;= capacity[r]. Only apply shared roof constraints across projects using that same roof polygon or candidate pool.</w:t>
      </w:r>
    </w:p>
    <w:p>
      <w:pPr>
        <w:pStyle w:val="ListBullet"/>
      </w:pPr>
      <w:r>
        <w:t>Eligibility: x[k] &lt;= unit_cap[k]*eligible[k]. Unknown eligibility is treated as unverified, not automatically available.</w:t>
      </w:r>
    </w:p>
    <w:p>
      <w:pPr>
        <w:pStyle w:val="ListBullet"/>
      </w:pPr>
      <w:r>
        <w:t>Logical dependencies: x[a] &lt;= x[b] when installation of a requires b; x[a]+x[b] &lt;= 1 for exclusive binary options; validate quantities in the generalized case.</w:t>
      </w:r>
    </w:p>
    <w:p>
      <w:pPr>
        <w:pStyle w:val="ListBullet"/>
      </w:pPr>
      <w:r>
        <w:t>Equity floor: for each designated priority zone z, BenefitToZone[z,x] &gt;= explicit_floor[z] only where metrics/thresholds have compatible units. An infeasible user-requested floor must return an honest infeasible result and suggested relaxation.</w:t>
      </w:r>
    </w:p>
    <w:p>
      <w:pPr>
        <w:pStyle w:val="ListBullet"/>
      </w:pPr>
      <w:r>
        <w:t>Committed investments (optional P2): fix x[k]=1 for committed projects; subtract already-obligated capex from the REVISED total envelope before allocating new discretionary capital. If commitments exceed the revised envelope, flag committed overspend rather than claiming feasibility.</w:t>
      </w:r>
    </w:p>
    <w:p>
      <w:pPr>
        <w:pStyle w:val="ListBullet"/>
      </w:pPr>
      <w:r>
        <w:t>Nonnegative investment counts and bounded unit caps; no negative budgets, undefined normalization targets or unsupported project categories.</w:t>
      </w:r>
    </w:p>
    <w:p>
      <w:pPr>
        <w:pStyle w:val="Heading2"/>
      </w:pPr>
      <w:r>
        <w:t>5.8 Interaction-aware evaluation and solver honesty</w:t>
      </w:r>
    </w:p>
    <w:p>
      <w:r>
        <w:t>MILP optimises a documented LINEARISED SURROGATE, not automatically the exact nonlinear environmental system. After selection, run an independent portfolio-level evaluator with shared-area rules, storage limitations, cross-site drainage interactions and scenario-dependent effects. Store the surrogate score and re-evaluated outcomes separately.</w:t>
      </w:r>
    </w:p>
    <w:p>
      <w:r>
        <w:t>If portfolio re-evaluation violates a hard capacity rule, reject the candidate and add a no-good constraint or refine the catalogue, then resolve. If it changes the relative performance materially, recompute all compared shortlisted portfolios through the same evaluator and report “best among evaluated feasible candidates,” not an unsupported exact nonlinear global optimum.</w:t>
      </w:r>
    </w:p>
    <w:p>
      <w:r>
        <w:t>For four intervention types across 3 zones, first build and verify a small binary catalogue before increasing candidate counts. Use fixed time/memory limits and report the solver status: optimal, feasible_time_limit, infeasible, or error.</w:t>
      </w:r>
    </w:p>
    <w:p>
      <w:pPr>
        <w:pStyle w:val="Heading2"/>
      </w:pPr>
      <w:r>
        <w:t>5.9 Construction of the benefit coefficients</w:t>
      </w:r>
    </w:p>
    <w:tbl>
      <w:tblPr>
        <w:tblW w:type="auto" w:w="0"/>
        <w:jc w:val="center"/>
        <w:tblLayout w:type="fixed"/>
        <w:tblLook w:firstColumn="1" w:firstRow="1" w:lastColumn="0" w:lastRow="0" w:noHBand="0" w:noVBand="1" w:val="04A0"/>
      </w:tblPr>
      <w:tblGrid>
        <w:gridCol w:w="1152"/>
        <w:gridCol w:w="5947"/>
        <w:gridCol w:w="2722"/>
      </w:tblGrid>
      <w:tr>
        <w:trPr>
          <w:tblHeader w:val="true"/>
          <w:cantSplit/>
        </w:trPr>
        <w:tc>
          <w:tcPr>
            <w:tcW w:type="dxa" w:w="1152"/>
            <w:shd w:fill="143A49"/>
            <w:tcMar>
              <w:top w:w="85" w:type="dxa"/>
              <w:start w:w="85" w:type="dxa"/>
              <w:bottom w:w="85" w:type="dxa"/>
              <w:end w:w="85" w:type="dxa"/>
            </w:tcMar>
          </w:tcPr>
          <w:p>
            <w:pPr>
              <w:spacing w:after="0"/>
            </w:pPr>
            <w:r>
              <w:rPr>
                <w:rFonts w:ascii="Lato" w:hAnsi="Lato"/>
                <w:b/>
                <w:color w:val="FFFFFF"/>
                <w:sz w:val="15"/>
              </w:rPr>
              <w:t>Metric</w:t>
            </w:r>
          </w:p>
        </w:tc>
        <w:tc>
          <w:tcPr>
            <w:tcW w:type="dxa" w:w="5947"/>
            <w:shd w:fill="143A49"/>
            <w:tcMar>
              <w:top w:w="85" w:type="dxa"/>
              <w:start w:w="85" w:type="dxa"/>
              <w:bottom w:w="85" w:type="dxa"/>
              <w:end w:w="85" w:type="dxa"/>
            </w:tcMar>
          </w:tcPr>
          <w:p>
            <w:pPr>
              <w:spacing w:after="0"/>
            </w:pPr>
            <w:r>
              <w:rPr>
                <w:rFonts w:ascii="Lato" w:hAnsi="Lato"/>
                <w:b/>
                <w:color w:val="FFFFFF"/>
                <w:sz w:val="15"/>
              </w:rPr>
              <w:t>Physical effect assigned to each candidate</w:t>
            </w:r>
          </w:p>
        </w:tc>
        <w:tc>
          <w:tcPr>
            <w:tcW w:type="dxa" w:w="2722"/>
            <w:shd w:fill="143A49"/>
            <w:tcMar>
              <w:top w:w="85" w:type="dxa"/>
              <w:start w:w="85" w:type="dxa"/>
              <w:bottom w:w="85" w:type="dxa"/>
              <w:end w:w="85" w:type="dxa"/>
            </w:tcMar>
          </w:tcPr>
          <w:p>
            <w:pPr>
              <w:spacing w:after="0"/>
            </w:pPr>
            <w:r>
              <w:rPr>
                <w:rFonts w:ascii="Lato" w:hAnsi="Lato"/>
                <w:b/>
                <w:color w:val="FFFFFF"/>
                <w:sz w:val="15"/>
              </w:rPr>
              <w:t>Reporting unit</w:t>
            </w:r>
          </w:p>
        </w:tc>
      </w:tr>
      <w:tr>
        <w:trPr>
          <w:cantSplit/>
        </w:trPr>
        <w:tc>
          <w:tcPr>
            <w:tcW w:type="dxa" w:w="1152"/>
            <w:vAlign w:val="center"/>
            <w:tcMar>
              <w:top w:w="65" w:type="dxa"/>
              <w:start w:w="75" w:type="dxa"/>
              <w:bottom w:w="65" w:type="dxa"/>
              <w:end w:w="75" w:type="dxa"/>
            </w:tcMar>
          </w:tcPr>
          <w:p>
            <w:pPr>
              <w:spacing w:after="0" w:line="259" w:lineRule="auto"/>
            </w:pPr>
            <w:r>
              <w:rPr>
                <w:rFonts w:ascii="Lato" w:hAnsi="Lato"/>
                <w:color w:val="202D33"/>
                <w:sz w:val="15"/>
              </w:rPr>
              <w:t>Flood</w:t>
            </w:r>
          </w:p>
        </w:tc>
        <w:tc>
          <w:tcPr>
            <w:tcW w:type="dxa" w:w="5947"/>
            <w:vAlign w:val="center"/>
            <w:tcMar>
              <w:top w:w="65" w:type="dxa"/>
              <w:start w:w="75" w:type="dxa"/>
              <w:bottom w:w="65" w:type="dxa"/>
              <w:end w:w="75" w:type="dxa"/>
            </w:tcMar>
          </w:tcPr>
          <w:p>
            <w:pPr>
              <w:spacing w:after="0" w:line="259" w:lineRule="auto"/>
            </w:pPr>
            <w:r>
              <w:rPr>
                <w:rFonts w:ascii="Lato" w:hAnsi="Lato"/>
                <w:color w:val="202D33"/>
                <w:sz w:val="15"/>
              </w:rPr>
              <w:t>Change in excess peak-flow/capacity screening and separately retained runoff volume; derived from area/C/I and upgrade capacity.</w:t>
            </w:r>
          </w:p>
        </w:tc>
        <w:tc>
          <w:tcPr>
            <w:tcW w:type="dxa" w:w="2722"/>
            <w:vAlign w:val="center"/>
            <w:tcMar>
              <w:top w:w="65" w:type="dxa"/>
              <w:start w:w="75" w:type="dxa"/>
              <w:bottom w:w="65" w:type="dxa"/>
              <w:end w:w="75" w:type="dxa"/>
            </w:tcMar>
          </w:tcPr>
          <w:p>
            <w:pPr>
              <w:spacing w:after="0" w:line="259" w:lineRule="auto"/>
            </w:pPr>
            <w:r>
              <w:rPr>
                <w:rFonts w:ascii="Lato" w:hAnsi="Lato"/>
                <w:color w:val="202D33"/>
                <w:sz w:val="15"/>
              </w:rPr>
              <w:t>m3/s exceedance; m3/event retained</w:t>
            </w:r>
          </w:p>
        </w:tc>
      </w:tr>
      <w:tr>
        <w:trPr>
          <w:cantSplit/>
        </w:trPr>
        <w:tc>
          <w:tcPr>
            <w:tcW w:type="dxa" w:w="1152"/>
            <w:vAlign w:val="center"/>
            <w:tcMar>
              <w:top w:w="65" w:type="dxa"/>
              <w:start w:w="75" w:type="dxa"/>
              <w:bottom w:w="65" w:type="dxa"/>
              <w:end w:w="75" w:type="dxa"/>
            </w:tcMar>
            <w:shd w:fill="F0F5F5"/>
          </w:tcPr>
          <w:p>
            <w:pPr>
              <w:spacing w:after="0" w:line="259" w:lineRule="auto"/>
            </w:pPr>
            <w:r>
              <w:rPr>
                <w:rFonts w:ascii="Lato" w:hAnsi="Lato"/>
                <w:color w:val="202D33"/>
                <w:sz w:val="15"/>
              </w:rPr>
              <w:t>Water</w:t>
            </w:r>
          </w:p>
        </w:tc>
        <w:tc>
          <w:tcPr>
            <w:tcW w:type="dxa" w:w="5947"/>
            <w:vAlign w:val="center"/>
            <w:tcMar>
              <w:top w:w="65" w:type="dxa"/>
              <w:start w:w="75" w:type="dxa"/>
              <w:bottom w:w="65" w:type="dxa"/>
              <w:end w:w="75" w:type="dxa"/>
            </w:tcMar>
            <w:shd w:fill="F0F5F5"/>
          </w:tcPr>
          <w:p>
            <w:pPr>
              <w:spacing w:after="0" w:line="259" w:lineRule="auto"/>
            </w:pPr>
            <w:r>
              <w:rPr>
                <w:rFonts w:ascii="Lato" w:hAnsi="Lato"/>
                <w:color w:val="202D33"/>
                <w:sz w:val="15"/>
              </w:rPr>
              <w:t>Additional usable water served by bounded tank and demand balance against same rainfall scenario.</w:t>
            </w:r>
          </w:p>
        </w:tc>
        <w:tc>
          <w:tcPr>
            <w:tcW w:type="dxa" w:w="2722"/>
            <w:vAlign w:val="center"/>
            <w:tcMar>
              <w:top w:w="65" w:type="dxa"/>
              <w:start w:w="75" w:type="dxa"/>
              <w:bottom w:w="65" w:type="dxa"/>
              <w:end w:w="75" w:type="dxa"/>
            </w:tcMar>
            <w:shd w:fill="F0F5F5"/>
          </w:tcPr>
          <w:p>
            <w:pPr>
              <w:spacing w:after="0" w:line="259" w:lineRule="auto"/>
            </w:pPr>
            <w:r>
              <w:rPr>
                <w:rFonts w:ascii="Lato" w:hAnsi="Lato"/>
                <w:color w:val="202D33"/>
                <w:sz w:val="15"/>
              </w:rPr>
              <w:t>m3/year</w:t>
            </w:r>
          </w:p>
        </w:tc>
      </w:tr>
      <w:tr>
        <w:trPr>
          <w:cantSplit/>
        </w:trPr>
        <w:tc>
          <w:tcPr>
            <w:tcW w:type="dxa" w:w="1152"/>
            <w:vAlign w:val="center"/>
            <w:tcMar>
              <w:top w:w="65" w:type="dxa"/>
              <w:start w:w="75" w:type="dxa"/>
              <w:bottom w:w="65" w:type="dxa"/>
              <w:end w:w="75" w:type="dxa"/>
            </w:tcMar>
          </w:tcPr>
          <w:p>
            <w:pPr>
              <w:spacing w:after="0" w:line="259" w:lineRule="auto"/>
            </w:pPr>
            <w:r>
              <w:rPr>
                <w:rFonts w:ascii="Lato" w:hAnsi="Lato"/>
                <w:color w:val="202D33"/>
                <w:sz w:val="15"/>
              </w:rPr>
              <w:t>Heat</w:t>
            </w:r>
          </w:p>
        </w:tc>
        <w:tc>
          <w:tcPr>
            <w:tcW w:type="dxa" w:w="5947"/>
            <w:vAlign w:val="center"/>
            <w:tcMar>
              <w:top w:w="65" w:type="dxa"/>
              <w:start w:w="75" w:type="dxa"/>
              <w:bottom w:w="65" w:type="dxa"/>
              <w:end w:w="75" w:type="dxa"/>
            </w:tcMar>
          </w:tcPr>
          <w:p>
            <w:pPr>
              <w:spacing w:after="0" w:line="259" w:lineRule="auto"/>
            </w:pPr>
            <w:r>
              <w:rPr>
                <w:rFonts w:ascii="Lato" w:hAnsi="Lato"/>
                <w:color w:val="202D33"/>
                <w:sz w:val="15"/>
              </w:rPr>
              <w:t>Decrease in population-weighted heat-exposure index with water/maintenance corrections.</w:t>
            </w:r>
          </w:p>
        </w:tc>
        <w:tc>
          <w:tcPr>
            <w:tcW w:type="dxa" w:w="2722"/>
            <w:vAlign w:val="center"/>
            <w:tcMar>
              <w:top w:w="65" w:type="dxa"/>
              <w:start w:w="75" w:type="dxa"/>
              <w:bottom w:w="65" w:type="dxa"/>
              <w:end w:w="75" w:type="dxa"/>
            </w:tcMar>
          </w:tcPr>
          <w:p>
            <w:pPr>
              <w:spacing w:after="0" w:line="259" w:lineRule="auto"/>
            </w:pPr>
            <w:r>
              <w:rPr>
                <w:rFonts w:ascii="Lato" w:hAnsi="Lato"/>
                <w:color w:val="202D33"/>
                <w:sz w:val="15"/>
              </w:rPr>
              <w:t>person-index units</w:t>
            </w:r>
          </w:p>
        </w:tc>
      </w:tr>
      <w:tr>
        <w:trPr>
          <w:cantSplit/>
        </w:trPr>
        <w:tc>
          <w:tcPr>
            <w:tcW w:type="dxa" w:w="1152"/>
            <w:vAlign w:val="center"/>
            <w:tcMar>
              <w:top w:w="65" w:type="dxa"/>
              <w:start w:w="75" w:type="dxa"/>
              <w:bottom w:w="65" w:type="dxa"/>
              <w:end w:w="75" w:type="dxa"/>
            </w:tcMar>
            <w:shd w:fill="F0F5F5"/>
          </w:tcPr>
          <w:p>
            <w:pPr>
              <w:spacing w:after="0" w:line="259" w:lineRule="auto"/>
            </w:pPr>
            <w:r>
              <w:rPr>
                <w:rFonts w:ascii="Lato" w:hAnsi="Lato"/>
                <w:color w:val="202D33"/>
                <w:sz w:val="15"/>
              </w:rPr>
              <w:t>Carbon</w:t>
            </w:r>
          </w:p>
        </w:tc>
        <w:tc>
          <w:tcPr>
            <w:tcW w:type="dxa" w:w="5947"/>
            <w:vAlign w:val="center"/>
            <w:tcMar>
              <w:top w:w="65" w:type="dxa"/>
              <w:start w:w="75" w:type="dxa"/>
              <w:bottom w:w="65" w:type="dxa"/>
              <w:end w:w="75" w:type="dxa"/>
            </w:tcMar>
            <w:shd w:fill="F0F5F5"/>
          </w:tcPr>
          <w:p>
            <w:pPr>
              <w:spacing w:after="0" w:line="259" w:lineRule="auto"/>
            </w:pPr>
            <w:r>
              <w:rPr>
                <w:rFonts w:ascii="Lato" w:hAnsi="Lato"/>
                <w:color w:val="202D33"/>
                <w:sz w:val="15"/>
              </w:rPr>
              <w:t>Net avoided + sequestered − embodied/O&amp;M emissions over stated horizon, with missing pathways excluded and flagged.</w:t>
            </w:r>
          </w:p>
        </w:tc>
        <w:tc>
          <w:tcPr>
            <w:tcW w:type="dxa" w:w="2722"/>
            <w:vAlign w:val="center"/>
            <w:tcMar>
              <w:top w:w="65" w:type="dxa"/>
              <w:start w:w="75" w:type="dxa"/>
              <w:bottom w:w="65" w:type="dxa"/>
              <w:end w:w="75" w:type="dxa"/>
            </w:tcMar>
            <w:shd w:fill="F0F5F5"/>
          </w:tcPr>
          <w:p>
            <w:pPr>
              <w:spacing w:after="0" w:line="259" w:lineRule="auto"/>
            </w:pPr>
            <w:r>
              <w:rPr>
                <w:rFonts w:ascii="Lato" w:hAnsi="Lato"/>
                <w:color w:val="202D33"/>
                <w:sz w:val="15"/>
              </w:rPr>
              <w:t>tCO2e / horizon</w:t>
            </w:r>
          </w:p>
        </w:tc>
      </w:tr>
      <w:tr>
        <w:trPr>
          <w:cantSplit/>
        </w:trPr>
        <w:tc>
          <w:tcPr>
            <w:tcW w:type="dxa" w:w="1152"/>
            <w:vAlign w:val="center"/>
            <w:tcMar>
              <w:top w:w="65" w:type="dxa"/>
              <w:start w:w="75" w:type="dxa"/>
              <w:bottom w:w="65" w:type="dxa"/>
              <w:end w:w="75" w:type="dxa"/>
            </w:tcMar>
          </w:tcPr>
          <w:p>
            <w:pPr>
              <w:spacing w:after="0" w:line="259" w:lineRule="auto"/>
            </w:pPr>
            <w:r>
              <w:rPr>
                <w:rFonts w:ascii="Lato" w:hAnsi="Lato"/>
                <w:color w:val="202D33"/>
                <w:sz w:val="15"/>
              </w:rPr>
              <w:t>Equity</w:t>
            </w:r>
          </w:p>
        </w:tc>
        <w:tc>
          <w:tcPr>
            <w:tcW w:type="dxa" w:w="5947"/>
            <w:vAlign w:val="center"/>
            <w:tcMar>
              <w:top w:w="65" w:type="dxa"/>
              <w:start w:w="75" w:type="dxa"/>
              <w:bottom w:w="65" w:type="dxa"/>
              <w:end w:w="75" w:type="dxa"/>
            </w:tcMar>
          </w:tcPr>
          <w:p>
            <w:pPr>
              <w:spacing w:after="0" w:line="259" w:lineRule="auto"/>
            </w:pPr>
            <w:r>
              <w:rPr>
                <w:rFonts w:ascii="Lato" w:hAnsi="Lato"/>
                <w:color w:val="202D33"/>
                <w:sz w:val="15"/>
              </w:rPr>
              <w:t>Who receives benefits, per-1000-resident comparisons and priority-zone floor; not independent physical benefit.</w:t>
            </w:r>
          </w:p>
        </w:tc>
        <w:tc>
          <w:tcPr>
            <w:tcW w:type="dxa" w:w="2722"/>
            <w:vAlign w:val="center"/>
            <w:tcMar>
              <w:top w:w="65" w:type="dxa"/>
              <w:start w:w="75" w:type="dxa"/>
              <w:bottom w:w="65" w:type="dxa"/>
              <w:end w:w="75" w:type="dxa"/>
            </w:tcMar>
          </w:tcPr>
          <w:p>
            <w:pPr>
              <w:spacing w:after="0" w:line="259" w:lineRule="auto"/>
            </w:pPr>
            <w:r>
              <w:rPr>
                <w:rFonts w:ascii="Lato" w:hAnsi="Lato"/>
                <w:color w:val="202D33"/>
                <w:sz w:val="15"/>
              </w:rPr>
              <w:t>group/zone-index</w:t>
            </w:r>
          </w:p>
        </w:tc>
      </w:tr>
      <w:tr>
        <w:trPr>
          <w:cantSplit/>
        </w:trPr>
        <w:tc>
          <w:tcPr>
            <w:tcW w:type="dxa" w:w="1152"/>
            <w:vAlign w:val="center"/>
            <w:tcMar>
              <w:top w:w="65" w:type="dxa"/>
              <w:start w:w="75" w:type="dxa"/>
              <w:bottom w:w="65" w:type="dxa"/>
              <w:end w:w="75" w:type="dxa"/>
            </w:tcMar>
            <w:shd w:fill="F0F5F5"/>
          </w:tcPr>
          <w:p>
            <w:pPr>
              <w:spacing w:after="0" w:line="259" w:lineRule="auto"/>
            </w:pPr>
            <w:r>
              <w:rPr>
                <w:rFonts w:ascii="Lato" w:hAnsi="Lato"/>
                <w:color w:val="202D33"/>
                <w:sz w:val="15"/>
              </w:rPr>
              <w:t>Economics</w:t>
            </w:r>
          </w:p>
        </w:tc>
        <w:tc>
          <w:tcPr>
            <w:tcW w:type="dxa" w:w="5947"/>
            <w:vAlign w:val="center"/>
            <w:tcMar>
              <w:top w:w="65" w:type="dxa"/>
              <w:start w:w="75" w:type="dxa"/>
              <w:bottom w:w="65" w:type="dxa"/>
              <w:end w:w="75" w:type="dxa"/>
            </w:tcMar>
            <w:shd w:fill="F0F5F5"/>
          </w:tcPr>
          <w:p>
            <w:pPr>
              <w:spacing w:after="0" w:line="259" w:lineRule="auto"/>
            </w:pPr>
            <w:r>
              <w:rPr>
                <w:rFonts w:ascii="Lato" w:hAnsi="Lato"/>
                <w:color w:val="202D33"/>
                <w:sz w:val="15"/>
              </w:rPr>
              <w:t>Capex constraint and lifecycle monetary penalty/report; consistent years and price units.</w:t>
            </w:r>
          </w:p>
        </w:tc>
        <w:tc>
          <w:tcPr>
            <w:tcW w:type="dxa" w:w="2722"/>
            <w:vAlign w:val="center"/>
            <w:tcMar>
              <w:top w:w="65" w:type="dxa"/>
              <w:start w:w="75" w:type="dxa"/>
              <w:bottom w:w="65" w:type="dxa"/>
              <w:end w:w="75" w:type="dxa"/>
            </w:tcMar>
            <w:shd w:fill="F0F5F5"/>
          </w:tcPr>
          <w:p>
            <w:pPr>
              <w:spacing w:after="0" w:line="259" w:lineRule="auto"/>
            </w:pPr>
            <w:r>
              <w:rPr>
                <w:rFonts w:ascii="Lato" w:hAnsi="Lato"/>
                <w:color w:val="202D33"/>
                <w:sz w:val="15"/>
              </w:rPr>
              <w:t>INR; INR LCC</w:t>
            </w:r>
          </w:p>
        </w:tc>
      </w:tr>
    </w:tbl>
    <w:p>
      <w:pPr>
        <w:spacing w:after="40"/>
      </w:pPr>
    </w:p>
    <w:p>
      <w:pPr>
        <w:pStyle w:val="Heading2"/>
      </w:pPr>
      <w:r>
        <w:t>5.10 Default objective settings and transparency</w:t>
      </w:r>
    </w:p>
    <w:p>
      <w:r>
        <w:t>Use the following weights solely as reproducible initial DESIGN DEFAULTS, not proven municipal values: Balanced F=.25, W=.20, H=.20, G=.10, Equity=.15, LCC=.10; Flood-first F=.55 with remaining .45 distributed transparently; Water-first W=.55; Heat-first H=.55; Equity-first Equity=.45. Users can inspect and edit all weights. Record exact weights with each run.</w:t>
      </w:r>
    </w:p>
    <w:p>
      <w:r>
        <w:t>Start with a three-zone reference allocation, and supply at least two feasible alternatives. Non-dominated sets must be labelled “among enumerated/sampled feasible candidates” unless a full frontier was explicitly computed.</w:t>
      </w:r>
    </w:p>
    <w:p>
      <w:pPr>
        <w:pStyle w:val="Heading1"/>
      </w:pPr>
      <w:r>
        <w:t>6. Scenario simulator and climate robustness</w:t>
      </w:r>
    </w:p>
    <w:tbl>
      <w:tblPr>
        <w:tblW w:type="auto" w:w="0"/>
        <w:jc w:val="center"/>
        <w:tblLayout w:type="fixed"/>
        <w:tblLook w:firstColumn="1" w:firstRow="1" w:lastColumn="0" w:lastRow="0" w:noHBand="0" w:noVBand="1" w:val="04A0"/>
      </w:tblPr>
      <w:tblGrid>
        <w:gridCol w:w="1786"/>
        <w:gridCol w:w="3773"/>
        <w:gridCol w:w="4262"/>
      </w:tblGrid>
      <w:tr>
        <w:trPr>
          <w:tblHeader w:val="true"/>
          <w:cantSplit/>
        </w:trPr>
        <w:tc>
          <w:tcPr>
            <w:tcW w:type="dxa" w:w="1786"/>
            <w:shd w:fill="143A49"/>
            <w:tcMar>
              <w:top w:w="85" w:type="dxa"/>
              <w:start w:w="85" w:type="dxa"/>
              <w:bottom w:w="85" w:type="dxa"/>
              <w:end w:w="85" w:type="dxa"/>
            </w:tcMar>
          </w:tcPr>
          <w:p>
            <w:pPr>
              <w:spacing w:after="0"/>
            </w:pPr>
            <w:r>
              <w:rPr>
                <w:rFonts w:ascii="Lato" w:hAnsi="Lato"/>
                <w:b/>
                <w:color w:val="FFFFFF"/>
                <w:sz w:val="15"/>
              </w:rPr>
              <w:t>Scenario</w:t>
            </w:r>
          </w:p>
        </w:tc>
        <w:tc>
          <w:tcPr>
            <w:tcW w:type="dxa" w:w="3773"/>
            <w:shd w:fill="143A49"/>
            <w:tcMar>
              <w:top w:w="85" w:type="dxa"/>
              <w:start w:w="85" w:type="dxa"/>
              <w:bottom w:w="85" w:type="dxa"/>
              <w:end w:w="85" w:type="dxa"/>
            </w:tcMar>
          </w:tcPr>
          <w:p>
            <w:pPr>
              <w:spacing w:after="0"/>
            </w:pPr>
            <w:r>
              <w:rPr>
                <w:rFonts w:ascii="Lato" w:hAnsi="Lato"/>
                <w:b/>
                <w:color w:val="FFFFFF"/>
                <w:sz w:val="15"/>
              </w:rPr>
              <w:t>What changes</w:t>
            </w:r>
          </w:p>
        </w:tc>
        <w:tc>
          <w:tcPr>
            <w:tcW w:type="dxa" w:w="4262"/>
            <w:shd w:fill="143A49"/>
            <w:tcMar>
              <w:top w:w="85" w:type="dxa"/>
              <w:start w:w="85" w:type="dxa"/>
              <w:bottom w:w="85" w:type="dxa"/>
              <w:end w:w="85" w:type="dxa"/>
            </w:tcMar>
          </w:tcPr>
          <w:p>
            <w:pPr>
              <w:spacing w:after="0"/>
            </w:pPr>
            <w:r>
              <w:rPr>
                <w:rFonts w:ascii="Lato" w:hAnsi="Lato"/>
                <w:b/>
                <w:color w:val="FFFFFF"/>
                <w:sz w:val="15"/>
              </w:rPr>
              <w:t>Required output</w:t>
            </w:r>
          </w:p>
        </w:tc>
      </w:tr>
      <w:tr>
        <w:trPr>
          <w:cantSplit/>
        </w:trPr>
        <w:tc>
          <w:tcPr>
            <w:tcW w:type="dxa" w:w="1786"/>
            <w:vAlign w:val="center"/>
            <w:tcMar>
              <w:top w:w="65" w:type="dxa"/>
              <w:start w:w="75" w:type="dxa"/>
              <w:bottom w:w="65" w:type="dxa"/>
              <w:end w:w="75" w:type="dxa"/>
            </w:tcMar>
          </w:tcPr>
          <w:p>
            <w:pPr>
              <w:spacing w:after="0" w:line="259" w:lineRule="auto"/>
            </w:pPr>
            <w:r>
              <w:rPr>
                <w:rFonts w:ascii="Lato" w:hAnsi="Lato"/>
                <w:color w:val="202D33"/>
                <w:sz w:val="15"/>
              </w:rPr>
              <w:t>Normal baseline</w:t>
            </w:r>
          </w:p>
        </w:tc>
        <w:tc>
          <w:tcPr>
            <w:tcW w:type="dxa" w:w="3773"/>
            <w:vAlign w:val="center"/>
            <w:tcMar>
              <w:top w:w="65" w:type="dxa"/>
              <w:start w:w="75" w:type="dxa"/>
              <w:bottom w:w="65" w:type="dxa"/>
              <w:end w:w="75" w:type="dxa"/>
            </w:tcMar>
          </w:tcPr>
          <w:p>
            <w:pPr>
              <w:spacing w:after="0" w:line="259" w:lineRule="auto"/>
            </w:pPr>
            <w:r>
              <w:rPr>
                <w:rFonts w:ascii="Lato" w:hAnsi="Lato"/>
                <w:color w:val="202D33"/>
                <w:sz w:val="15"/>
              </w:rPr>
              <w:t>Original environmental inputs and available capital.</w:t>
            </w:r>
          </w:p>
        </w:tc>
        <w:tc>
          <w:tcPr>
            <w:tcW w:type="dxa" w:w="4262"/>
            <w:vAlign w:val="center"/>
            <w:tcMar>
              <w:top w:w="65" w:type="dxa"/>
              <w:start w:w="75" w:type="dxa"/>
              <w:bottom w:w="65" w:type="dxa"/>
              <w:end w:w="75" w:type="dxa"/>
            </w:tcMar>
          </w:tcPr>
          <w:p>
            <w:pPr>
              <w:spacing w:after="0" w:line="259" w:lineRule="auto"/>
            </w:pPr>
            <w:r>
              <w:rPr>
                <w:rFonts w:ascii="Lato" w:hAnsi="Lato"/>
                <w:color w:val="202D33"/>
                <w:sz w:val="15"/>
              </w:rPr>
              <w:t>Chosen portfolio and modelled outcomes.</w:t>
            </w:r>
          </w:p>
        </w:tc>
      </w:tr>
      <w:tr>
        <w:trPr>
          <w:cantSplit/>
        </w:trPr>
        <w:tc>
          <w:tcPr>
            <w:tcW w:type="dxa" w:w="1786"/>
            <w:vAlign w:val="center"/>
            <w:tcMar>
              <w:top w:w="65" w:type="dxa"/>
              <w:start w:w="75" w:type="dxa"/>
              <w:bottom w:w="65" w:type="dxa"/>
              <w:end w:w="75" w:type="dxa"/>
            </w:tcMar>
            <w:shd w:fill="F0F5F5"/>
          </w:tcPr>
          <w:p>
            <w:pPr>
              <w:spacing w:after="0" w:line="259" w:lineRule="auto"/>
            </w:pPr>
            <w:r>
              <w:rPr>
                <w:rFonts w:ascii="Lato" w:hAnsi="Lato"/>
                <w:color w:val="202D33"/>
                <w:sz w:val="15"/>
              </w:rPr>
              <w:t>Extreme rainfall</w:t>
            </w:r>
          </w:p>
        </w:tc>
        <w:tc>
          <w:tcPr>
            <w:tcW w:type="dxa" w:w="3773"/>
            <w:vAlign w:val="center"/>
            <w:tcMar>
              <w:top w:w="65" w:type="dxa"/>
              <w:start w:w="75" w:type="dxa"/>
              <w:bottom w:w="65" w:type="dxa"/>
              <w:end w:w="75" w:type="dxa"/>
            </w:tcMar>
            <w:shd w:fill="F0F5F5"/>
          </w:tcPr>
          <w:p>
            <w:pPr>
              <w:spacing w:after="0" w:line="259" w:lineRule="auto"/>
            </w:pPr>
            <w:r>
              <w:rPr>
                <w:rFonts w:ascii="Lato" w:hAnsi="Lato"/>
                <w:color w:val="202D33"/>
                <w:sz w:val="15"/>
              </w:rPr>
              <w:t>Transparent storm intensity multiplier / design event; recomputed runoff and capacity consequences.</w:t>
            </w:r>
          </w:p>
        </w:tc>
        <w:tc>
          <w:tcPr>
            <w:tcW w:type="dxa" w:w="4262"/>
            <w:vAlign w:val="center"/>
            <w:tcMar>
              <w:top w:w="65" w:type="dxa"/>
              <w:start w:w="75" w:type="dxa"/>
              <w:bottom w:w="65" w:type="dxa"/>
              <w:end w:w="75" w:type="dxa"/>
            </w:tcMar>
            <w:shd w:fill="F0F5F5"/>
          </w:tcPr>
          <w:p>
            <w:pPr>
              <w:spacing w:after="0" w:line="259" w:lineRule="auto"/>
            </w:pPr>
            <w:r>
              <w:rPr>
                <w:rFonts w:ascii="Lato" w:hAnsi="Lato"/>
                <w:color w:val="202D33"/>
                <w:sz w:val="15"/>
              </w:rPr>
              <w:t>Old portfolio under shock; feasible reoptimised alternative; risk/cost/equity trade-offs.</w:t>
            </w:r>
          </w:p>
        </w:tc>
      </w:tr>
      <w:tr>
        <w:trPr>
          <w:cantSplit/>
        </w:trPr>
        <w:tc>
          <w:tcPr>
            <w:tcW w:type="dxa" w:w="1786"/>
            <w:vAlign w:val="center"/>
            <w:tcMar>
              <w:top w:w="65" w:type="dxa"/>
              <w:start w:w="75" w:type="dxa"/>
              <w:bottom w:w="65" w:type="dxa"/>
              <w:end w:w="75" w:type="dxa"/>
            </w:tcMar>
          </w:tcPr>
          <w:p>
            <w:pPr>
              <w:spacing w:after="0" w:line="259" w:lineRule="auto"/>
            </w:pPr>
            <w:r>
              <w:rPr>
                <w:rFonts w:ascii="Lato" w:hAnsi="Lato"/>
                <w:color w:val="202D33"/>
                <w:sz w:val="15"/>
              </w:rPr>
              <w:t>Drought</w:t>
            </w:r>
          </w:p>
        </w:tc>
        <w:tc>
          <w:tcPr>
            <w:tcW w:type="dxa" w:w="3773"/>
            <w:vAlign w:val="center"/>
            <w:tcMar>
              <w:top w:w="65" w:type="dxa"/>
              <w:start w:w="75" w:type="dxa"/>
              <w:bottom w:w="65" w:type="dxa"/>
              <w:end w:w="75" w:type="dxa"/>
            </w:tcMar>
          </w:tcPr>
          <w:p>
            <w:pPr>
              <w:spacing w:after="0" w:line="259" w:lineRule="auto"/>
            </w:pPr>
            <w:r>
              <w:rPr>
                <w:rFonts w:ascii="Lato" w:hAnsi="Lato"/>
                <w:color w:val="202D33"/>
                <w:sz w:val="15"/>
              </w:rPr>
              <w:t>Lower water availability, altered rainfall distribution, limits on irrigation/cooling yield.</w:t>
            </w:r>
          </w:p>
        </w:tc>
        <w:tc>
          <w:tcPr>
            <w:tcW w:type="dxa" w:w="4262"/>
            <w:vAlign w:val="center"/>
            <w:tcMar>
              <w:top w:w="65" w:type="dxa"/>
              <w:start w:w="75" w:type="dxa"/>
              <w:bottom w:w="65" w:type="dxa"/>
              <w:end w:w="75" w:type="dxa"/>
            </w:tcMar>
          </w:tcPr>
          <w:p>
            <w:pPr>
              <w:spacing w:after="0" w:line="259" w:lineRule="auto"/>
            </w:pPr>
            <w:r>
              <w:rPr>
                <w:rFonts w:ascii="Lato" w:hAnsi="Lato"/>
                <w:color w:val="202D33"/>
                <w:sz w:val="15"/>
              </w:rPr>
              <w:t>Changed water yield, tree benefit and selected projects.</w:t>
            </w:r>
          </w:p>
        </w:tc>
      </w:tr>
      <w:tr>
        <w:trPr>
          <w:cantSplit/>
        </w:trPr>
        <w:tc>
          <w:tcPr>
            <w:tcW w:type="dxa" w:w="1786"/>
            <w:vAlign w:val="center"/>
            <w:tcMar>
              <w:top w:w="65" w:type="dxa"/>
              <w:start w:w="75" w:type="dxa"/>
              <w:bottom w:w="65" w:type="dxa"/>
              <w:end w:w="75" w:type="dxa"/>
            </w:tcMar>
            <w:shd w:fill="F0F5F5"/>
          </w:tcPr>
          <w:p>
            <w:pPr>
              <w:spacing w:after="0" w:line="259" w:lineRule="auto"/>
            </w:pPr>
            <w:r>
              <w:rPr>
                <w:rFonts w:ascii="Lato" w:hAnsi="Lato"/>
                <w:color w:val="202D33"/>
                <w:sz w:val="15"/>
              </w:rPr>
              <w:t>Sudden budget cut</w:t>
            </w:r>
          </w:p>
        </w:tc>
        <w:tc>
          <w:tcPr>
            <w:tcW w:type="dxa" w:w="3773"/>
            <w:vAlign w:val="center"/>
            <w:tcMar>
              <w:top w:w="65" w:type="dxa"/>
              <w:start w:w="75" w:type="dxa"/>
              <w:bottom w:w="65" w:type="dxa"/>
              <w:end w:w="75" w:type="dxa"/>
            </w:tcMar>
            <w:shd w:fill="F0F5F5"/>
          </w:tcPr>
          <w:p>
            <w:pPr>
              <w:spacing w:after="0" w:line="259" w:lineRule="auto"/>
            </w:pPr>
            <w:r>
              <w:rPr>
                <w:rFonts w:ascii="Lato" w:hAnsi="Lato"/>
                <w:color w:val="202D33"/>
                <w:sz w:val="15"/>
              </w:rPr>
              <w:t>Reduced uncommitted capital; optional locked/committed investments.</w:t>
            </w:r>
          </w:p>
        </w:tc>
        <w:tc>
          <w:tcPr>
            <w:tcW w:type="dxa" w:w="4262"/>
            <w:vAlign w:val="center"/>
            <w:tcMar>
              <w:top w:w="65" w:type="dxa"/>
              <w:start w:w="75" w:type="dxa"/>
              <w:bottom w:w="65" w:type="dxa"/>
              <w:end w:w="75" w:type="dxa"/>
            </w:tcMar>
            <w:shd w:fill="F0F5F5"/>
          </w:tcPr>
          <w:p>
            <w:pPr>
              <w:spacing w:after="0" w:line="259" w:lineRule="auto"/>
            </w:pPr>
            <w:r>
              <w:rPr>
                <w:rFonts w:ascii="Lato" w:hAnsi="Lato"/>
                <w:color w:val="202D33"/>
                <w:sz w:val="15"/>
              </w:rPr>
              <w:t>Which candidates remain affordable, which are deferred, and why.</w:t>
            </w:r>
          </w:p>
        </w:tc>
      </w:tr>
    </w:tbl>
    <w:p>
      <w:pPr>
        <w:spacing w:after="40"/>
      </w:pPr>
    </w:p>
    <w:p>
      <w:pPr>
        <w:pStyle w:val="Heading2"/>
      </w:pPr>
      <w:r>
        <w:t>6.1 Scenario logic and scientific honesty</w:t>
      </w:r>
    </w:p>
    <w:p>
      <w:r>
        <w:t>Represent each shock by a saved parameter override, not an opaque AI-generated narrative. Stress assumptions are user-defined test conditions, not predictive statements about when a drought or extreme storm will occur. Compute (a) performance of the original portfolio under the shock and (b) a scenario-specific reoptimised feasible portfolio. Both outputs use the same metric units and environmental model version.</w:t>
      </w:r>
    </w:p>
    <w:p>
      <w:pPr>
        <w:pStyle w:val="Heading2"/>
      </w:pPr>
      <w:r>
        <w:t>6.2 Robustness extension — P1</w:t>
      </w:r>
    </w:p>
    <w:p>
      <w:r>
        <w:t>Sample a small matrix of plausible effectiveness and climate assumptions (for example a disclosed ± range from a documented coefficient, not a statistical confidence interval). For each candidate plan, calculate worst-case outcome, mean, constraint violations and max regret versus each scenario optimum. Label these “sensitivity ranges” until empirically calibrated.</w:t>
      </w:r>
    </w:p>
    <w:p>
      <w:pPr>
        <w:pStyle w:val="Heading2"/>
      </w:pPr>
      <w:r>
        <w:t>6.3 Named default shocks (illustrative, editable)</w:t>
      </w:r>
    </w:p>
    <w:tbl>
      <w:tblPr>
        <w:tblW w:type="auto" w:w="0"/>
        <w:jc w:val="center"/>
        <w:tblLayout w:type="fixed"/>
        <w:tblLook w:firstColumn="1" w:firstRow="1" w:lastColumn="0" w:lastRow="0" w:noHBand="0" w:noVBand="1" w:val="04A0"/>
      </w:tblPr>
      <w:tblGrid>
        <w:gridCol w:w="1584"/>
        <w:gridCol w:w="5299"/>
        <w:gridCol w:w="2938"/>
      </w:tblGrid>
      <w:tr>
        <w:trPr>
          <w:tblHeader w:val="true"/>
          <w:cantSplit/>
        </w:trPr>
        <w:tc>
          <w:tcPr>
            <w:tcW w:type="dxa" w:w="1584"/>
            <w:shd w:fill="143A49"/>
            <w:tcMar>
              <w:top w:w="85" w:type="dxa"/>
              <w:start w:w="85" w:type="dxa"/>
              <w:bottom w:w="85" w:type="dxa"/>
              <w:end w:w="85" w:type="dxa"/>
            </w:tcMar>
          </w:tcPr>
          <w:p>
            <w:pPr>
              <w:spacing w:after="0"/>
            </w:pPr>
            <w:r>
              <w:rPr>
                <w:rFonts w:ascii="Lato" w:hAnsi="Lato"/>
                <w:b/>
                <w:color w:val="FFFFFF"/>
                <w:sz w:val="15"/>
              </w:rPr>
              <w:t>Scenario ID</w:t>
            </w:r>
          </w:p>
        </w:tc>
        <w:tc>
          <w:tcPr>
            <w:tcW w:type="dxa" w:w="5299"/>
            <w:shd w:fill="143A49"/>
            <w:tcMar>
              <w:top w:w="85" w:type="dxa"/>
              <w:start w:w="85" w:type="dxa"/>
              <w:bottom w:w="85" w:type="dxa"/>
              <w:end w:w="85" w:type="dxa"/>
            </w:tcMar>
          </w:tcPr>
          <w:p>
            <w:pPr>
              <w:spacing w:after="0"/>
            </w:pPr>
            <w:r>
              <w:rPr>
                <w:rFonts w:ascii="Lato" w:hAnsi="Lato"/>
                <w:b/>
                <w:color w:val="FFFFFF"/>
                <w:sz w:val="15"/>
              </w:rPr>
              <w:t>Default stress settings (NOT predictions)</w:t>
            </w:r>
          </w:p>
        </w:tc>
        <w:tc>
          <w:tcPr>
            <w:tcW w:type="dxa" w:w="2938"/>
            <w:shd w:fill="143A49"/>
            <w:tcMar>
              <w:top w:w="85" w:type="dxa"/>
              <w:start w:w="85" w:type="dxa"/>
              <w:bottom w:w="85" w:type="dxa"/>
              <w:end w:w="85" w:type="dxa"/>
            </w:tcMar>
          </w:tcPr>
          <w:p>
            <w:pPr>
              <w:spacing w:after="0"/>
            </w:pPr>
            <w:r>
              <w:rPr>
                <w:rFonts w:ascii="Lato" w:hAnsi="Lato"/>
                <w:b/>
                <w:color w:val="FFFFFF"/>
                <w:sz w:val="15"/>
              </w:rPr>
              <w:t>Implementation guard</w:t>
            </w:r>
          </w:p>
        </w:tc>
      </w:tr>
      <w:tr>
        <w:trPr>
          <w:cantSplit/>
        </w:trPr>
        <w:tc>
          <w:tcPr>
            <w:tcW w:type="dxa" w:w="1584"/>
            <w:vAlign w:val="center"/>
            <w:tcMar>
              <w:top w:w="65" w:type="dxa"/>
              <w:start w:w="75" w:type="dxa"/>
              <w:bottom w:w="65" w:type="dxa"/>
              <w:end w:w="75" w:type="dxa"/>
            </w:tcMar>
          </w:tcPr>
          <w:p>
            <w:pPr>
              <w:spacing w:after="0" w:line="259" w:lineRule="auto"/>
            </w:pPr>
            <w:r>
              <w:rPr>
                <w:rFonts w:ascii="Lato" w:hAnsi="Lato"/>
                <w:color w:val="202D33"/>
                <w:sz w:val="15"/>
              </w:rPr>
              <w:t>normal</w:t>
            </w:r>
          </w:p>
        </w:tc>
        <w:tc>
          <w:tcPr>
            <w:tcW w:type="dxa" w:w="5299"/>
            <w:vAlign w:val="center"/>
            <w:tcMar>
              <w:top w:w="65" w:type="dxa"/>
              <w:start w:w="75" w:type="dxa"/>
              <w:bottom w:w="65" w:type="dxa"/>
              <w:end w:w="75" w:type="dxa"/>
            </w:tcMar>
          </w:tcPr>
          <w:p>
            <w:pPr>
              <w:spacing w:after="0" w:line="259" w:lineRule="auto"/>
            </w:pPr>
            <w:r>
              <w:rPr>
                <w:rFonts w:ascii="Lato" w:hAnsi="Lato"/>
                <w:color w:val="202D33"/>
                <w:sz w:val="15"/>
              </w:rPr>
              <w:t>Rainfall multiplier 1.00, irrigation factor 1.00, no budget reduction.</w:t>
            </w:r>
          </w:p>
        </w:tc>
        <w:tc>
          <w:tcPr>
            <w:tcW w:type="dxa" w:w="2938"/>
            <w:vAlign w:val="center"/>
            <w:tcMar>
              <w:top w:w="65" w:type="dxa"/>
              <w:start w:w="75" w:type="dxa"/>
              <w:bottom w:w="65" w:type="dxa"/>
              <w:end w:w="75" w:type="dxa"/>
            </w:tcMar>
          </w:tcPr>
          <w:p>
            <w:pPr>
              <w:spacing w:after="0" w:line="259" w:lineRule="auto"/>
            </w:pPr>
            <w:r>
              <w:rPr>
                <w:rFonts w:ascii="Lato" w:hAnsi="Lato"/>
                <w:color w:val="202D33"/>
                <w:sz w:val="15"/>
              </w:rPr>
              <w:t>Freeze input snapshot and time step.</w:t>
            </w:r>
          </w:p>
        </w:tc>
      </w:tr>
      <w:tr>
        <w:trPr>
          <w:cantSplit/>
        </w:trPr>
        <w:tc>
          <w:tcPr>
            <w:tcW w:type="dxa" w:w="1584"/>
            <w:vAlign w:val="center"/>
            <w:tcMar>
              <w:top w:w="65" w:type="dxa"/>
              <w:start w:w="75" w:type="dxa"/>
              <w:bottom w:w="65" w:type="dxa"/>
              <w:end w:w="75" w:type="dxa"/>
            </w:tcMar>
            <w:shd w:fill="F0F5F5"/>
          </w:tcPr>
          <w:p>
            <w:pPr>
              <w:spacing w:after="0" w:line="259" w:lineRule="auto"/>
            </w:pPr>
            <w:r>
              <w:rPr>
                <w:rFonts w:ascii="Lato" w:hAnsi="Lato"/>
                <w:color w:val="202D33"/>
                <w:sz w:val="15"/>
              </w:rPr>
              <w:t>extreme_rain</w:t>
            </w:r>
          </w:p>
        </w:tc>
        <w:tc>
          <w:tcPr>
            <w:tcW w:type="dxa" w:w="5299"/>
            <w:vAlign w:val="center"/>
            <w:tcMar>
              <w:top w:w="65" w:type="dxa"/>
              <w:start w:w="75" w:type="dxa"/>
              <w:bottom w:w="65" w:type="dxa"/>
              <w:end w:w="75" w:type="dxa"/>
            </w:tcMar>
            <w:shd w:fill="F0F5F5"/>
          </w:tcPr>
          <w:p>
            <w:pPr>
              <w:spacing w:after="0" w:line="259" w:lineRule="auto"/>
            </w:pPr>
            <w:r>
              <w:rPr>
                <w:rFonts w:ascii="Lato" w:hAnsi="Lato"/>
                <w:color w:val="202D33"/>
                <w:sz w:val="15"/>
              </w:rPr>
              <w:t>Design storm intensity multiplier 1.30; original duration/area assumptions retained.</w:t>
            </w:r>
          </w:p>
        </w:tc>
        <w:tc>
          <w:tcPr>
            <w:tcW w:type="dxa" w:w="2938"/>
            <w:vAlign w:val="center"/>
            <w:tcMar>
              <w:top w:w="65" w:type="dxa"/>
              <w:start w:w="75" w:type="dxa"/>
              <w:bottom w:w="65" w:type="dxa"/>
              <w:end w:w="75" w:type="dxa"/>
            </w:tcMar>
            <w:shd w:fill="F0F5F5"/>
          </w:tcPr>
          <w:p>
            <w:pPr>
              <w:spacing w:after="0" w:line="259" w:lineRule="auto"/>
            </w:pPr>
            <w:r>
              <w:rPr>
                <w:rFonts w:ascii="Lato" w:hAnsi="Lato"/>
                <w:color w:val="202D33"/>
                <w:sz w:val="15"/>
              </w:rPr>
              <w:t>Recompute runoff and conveyance exceedance; no arbitrary flood-depth change.</w:t>
            </w:r>
          </w:p>
        </w:tc>
      </w:tr>
      <w:tr>
        <w:trPr>
          <w:cantSplit/>
        </w:trPr>
        <w:tc>
          <w:tcPr>
            <w:tcW w:type="dxa" w:w="1584"/>
            <w:vAlign w:val="center"/>
            <w:tcMar>
              <w:top w:w="65" w:type="dxa"/>
              <w:start w:w="75" w:type="dxa"/>
              <w:bottom w:w="65" w:type="dxa"/>
              <w:end w:w="75" w:type="dxa"/>
            </w:tcMar>
          </w:tcPr>
          <w:p>
            <w:pPr>
              <w:spacing w:after="0" w:line="259" w:lineRule="auto"/>
            </w:pPr>
            <w:r>
              <w:rPr>
                <w:rFonts w:ascii="Lato" w:hAnsi="Lato"/>
                <w:color w:val="202D33"/>
                <w:sz w:val="15"/>
              </w:rPr>
              <w:t>drought</w:t>
            </w:r>
          </w:p>
        </w:tc>
        <w:tc>
          <w:tcPr>
            <w:tcW w:type="dxa" w:w="5299"/>
            <w:vAlign w:val="center"/>
            <w:tcMar>
              <w:top w:w="65" w:type="dxa"/>
              <w:start w:w="75" w:type="dxa"/>
              <w:bottom w:w="65" w:type="dxa"/>
              <w:end w:w="75" w:type="dxa"/>
            </w:tcMar>
          </w:tcPr>
          <w:p>
            <w:pPr>
              <w:spacing w:after="0" w:line="259" w:lineRule="auto"/>
            </w:pPr>
            <w:r>
              <w:rPr>
                <w:rFonts w:ascii="Lato" w:hAnsi="Lato"/>
                <w:color w:val="202D33"/>
                <w:sz w:val="15"/>
              </w:rPr>
              <w:t>Rainfall availability factor 0.60; tree evaporative-cooling factor 0.70; irrigation need tracked.</w:t>
            </w:r>
          </w:p>
        </w:tc>
        <w:tc>
          <w:tcPr>
            <w:tcW w:type="dxa" w:w="2938"/>
            <w:vAlign w:val="center"/>
            <w:tcMar>
              <w:top w:w="65" w:type="dxa"/>
              <w:start w:w="75" w:type="dxa"/>
              <w:bottom w:w="65" w:type="dxa"/>
              <w:end w:w="75" w:type="dxa"/>
            </w:tcMar>
          </w:tcPr>
          <w:p>
            <w:pPr>
              <w:spacing w:after="0" w:line="259" w:lineRule="auto"/>
            </w:pPr>
            <w:r>
              <w:rPr>
                <w:rFonts w:ascii="Lato" w:hAnsi="Lato"/>
                <w:color w:val="202D33"/>
                <w:sz w:val="15"/>
              </w:rPr>
              <w:t>Recompute harvest time series, water demand, heat benefits and constraints.</w:t>
            </w:r>
          </w:p>
        </w:tc>
      </w:tr>
      <w:tr>
        <w:trPr>
          <w:cantSplit/>
        </w:trPr>
        <w:tc>
          <w:tcPr>
            <w:tcW w:type="dxa" w:w="1584"/>
            <w:vAlign w:val="center"/>
            <w:tcMar>
              <w:top w:w="65" w:type="dxa"/>
              <w:start w:w="75" w:type="dxa"/>
              <w:bottom w:w="65" w:type="dxa"/>
              <w:end w:w="75" w:type="dxa"/>
            </w:tcMar>
            <w:shd w:fill="F0F5F5"/>
          </w:tcPr>
          <w:p>
            <w:pPr>
              <w:spacing w:after="0" w:line="259" w:lineRule="auto"/>
            </w:pPr>
            <w:r>
              <w:rPr>
                <w:rFonts w:ascii="Lato" w:hAnsi="Lato"/>
                <w:color w:val="202D33"/>
                <w:sz w:val="15"/>
              </w:rPr>
              <w:t>budget_cut</w:t>
            </w:r>
          </w:p>
        </w:tc>
        <w:tc>
          <w:tcPr>
            <w:tcW w:type="dxa" w:w="5299"/>
            <w:vAlign w:val="center"/>
            <w:tcMar>
              <w:top w:w="65" w:type="dxa"/>
              <w:start w:w="75" w:type="dxa"/>
              <w:bottom w:w="65" w:type="dxa"/>
              <w:end w:w="75" w:type="dxa"/>
            </w:tcMar>
            <w:shd w:fill="F0F5F5"/>
          </w:tcPr>
          <w:p>
            <w:pPr>
              <w:spacing w:after="0" w:line="259" w:lineRule="auto"/>
            </w:pPr>
            <w:r>
              <w:rPr>
                <w:rFonts w:ascii="Lato" w:hAnsi="Lato"/>
                <w:color w:val="202D33"/>
                <w:sz w:val="15"/>
              </w:rPr>
              <w:t>Revised total capital envelope = 0.70*baseline; commitments handled separately.</w:t>
            </w:r>
          </w:p>
        </w:tc>
        <w:tc>
          <w:tcPr>
            <w:tcW w:type="dxa" w:w="2938"/>
            <w:vAlign w:val="center"/>
            <w:tcMar>
              <w:top w:w="65" w:type="dxa"/>
              <w:start w:w="75" w:type="dxa"/>
              <w:bottom w:w="65" w:type="dxa"/>
              <w:end w:w="75" w:type="dxa"/>
            </w:tcMar>
            <w:shd w:fill="F0F5F5"/>
          </w:tcPr>
          <w:p>
            <w:pPr>
              <w:spacing w:after="0" w:line="259" w:lineRule="auto"/>
            </w:pPr>
            <w:r>
              <w:rPr>
                <w:rFonts w:ascii="Lato" w:hAnsi="Lato"/>
                <w:color w:val="202D33"/>
                <w:sz w:val="15"/>
              </w:rPr>
              <w:t>Re-solve feasible portfolio; preserve already obligated projects if toggle enabled.</w:t>
            </w:r>
          </w:p>
        </w:tc>
      </w:tr>
    </w:tbl>
    <w:p>
      <w:pPr>
        <w:spacing w:after="40"/>
      </w:pPr>
    </w:p>
    <w:p>
      <w:r>
        <w:t>The four factors above are user-editable TEST SCENARIOS and not observed 2026 events or climate forecasts. The original portfolio is evaluated with frozen x under each new environment before a second, reoptimised portfolio is calculated. Saved results share a baseline version and a common outcome evaluator.</w:t>
      </w:r>
    </w:p>
    <w:p>
      <w:pPr>
        <w:pStyle w:val="Heading1"/>
      </w:pPr>
      <w:r>
        <w:t>7. User experience and decision explainer</w:t>
      </w:r>
    </w:p>
    <w:tbl>
      <w:tblPr>
        <w:tblW w:type="auto" w:w="0"/>
        <w:jc w:val="center"/>
        <w:tblLayout w:type="fixed"/>
        <w:tblLook w:firstColumn="1" w:firstRow="1" w:lastColumn="0" w:lastRow="0" w:noHBand="0" w:noVBand="1" w:val="04A0"/>
      </w:tblPr>
      <w:tblGrid>
        <w:gridCol w:w="1685"/>
        <w:gridCol w:w="4925"/>
        <w:gridCol w:w="3211"/>
      </w:tblGrid>
      <w:tr>
        <w:trPr>
          <w:tblHeader w:val="true"/>
          <w:cantSplit/>
        </w:trPr>
        <w:tc>
          <w:tcPr>
            <w:tcW w:type="dxa" w:w="1685"/>
            <w:shd w:fill="143A49"/>
            <w:tcMar>
              <w:top w:w="85" w:type="dxa"/>
              <w:start w:w="85" w:type="dxa"/>
              <w:bottom w:w="85" w:type="dxa"/>
              <w:end w:w="85" w:type="dxa"/>
            </w:tcMar>
          </w:tcPr>
          <w:p>
            <w:pPr>
              <w:spacing w:after="0"/>
            </w:pPr>
            <w:r>
              <w:rPr>
                <w:rFonts w:ascii="Lato" w:hAnsi="Lato"/>
                <w:b/>
                <w:color w:val="FFFFFF"/>
                <w:sz w:val="15"/>
              </w:rPr>
              <w:t>Tab</w:t>
            </w:r>
          </w:p>
        </w:tc>
        <w:tc>
          <w:tcPr>
            <w:tcW w:type="dxa" w:w="4925"/>
            <w:shd w:fill="143A49"/>
            <w:tcMar>
              <w:top w:w="85" w:type="dxa"/>
              <w:start w:w="85" w:type="dxa"/>
              <w:bottom w:w="85" w:type="dxa"/>
              <w:end w:w="85" w:type="dxa"/>
            </w:tcMar>
          </w:tcPr>
          <w:p>
            <w:pPr>
              <w:spacing w:after="0"/>
            </w:pPr>
            <w:r>
              <w:rPr>
                <w:rFonts w:ascii="Lato" w:hAnsi="Lato"/>
                <w:b/>
                <w:color w:val="FFFFFF"/>
                <w:sz w:val="15"/>
              </w:rPr>
              <w:t>Essential view</w:t>
            </w:r>
          </w:p>
        </w:tc>
        <w:tc>
          <w:tcPr>
            <w:tcW w:type="dxa" w:w="3211"/>
            <w:shd w:fill="143A49"/>
            <w:tcMar>
              <w:top w:w="85" w:type="dxa"/>
              <w:start w:w="85" w:type="dxa"/>
              <w:bottom w:w="85" w:type="dxa"/>
              <w:end w:w="85" w:type="dxa"/>
            </w:tcMar>
          </w:tcPr>
          <w:p>
            <w:pPr>
              <w:spacing w:after="0"/>
            </w:pPr>
            <w:r>
              <w:rPr>
                <w:rFonts w:ascii="Lato" w:hAnsi="Lato"/>
                <w:b/>
                <w:color w:val="FFFFFF"/>
                <w:sz w:val="15"/>
              </w:rPr>
              <w:t>What the judge changes</w:t>
            </w:r>
          </w:p>
        </w:tc>
      </w:tr>
      <w:tr>
        <w:trPr>
          <w:cantSplit/>
        </w:trPr>
        <w:tc>
          <w:tcPr>
            <w:tcW w:type="dxa" w:w="1685"/>
            <w:vAlign w:val="center"/>
            <w:tcMar>
              <w:top w:w="65" w:type="dxa"/>
              <w:start w:w="75" w:type="dxa"/>
              <w:bottom w:w="65" w:type="dxa"/>
              <w:end w:w="75" w:type="dxa"/>
            </w:tcMar>
          </w:tcPr>
          <w:p>
            <w:pPr>
              <w:spacing w:after="0" w:line="259" w:lineRule="auto"/>
            </w:pPr>
            <w:r>
              <w:rPr>
                <w:rFonts w:ascii="Lato" w:hAnsi="Lato"/>
                <w:color w:val="202D33"/>
                <w:sz w:val="15"/>
              </w:rPr>
              <w:t>1. City Intelligence</w:t>
            </w:r>
          </w:p>
        </w:tc>
        <w:tc>
          <w:tcPr>
            <w:tcW w:type="dxa" w:w="4925"/>
            <w:vAlign w:val="center"/>
            <w:tcMar>
              <w:top w:w="65" w:type="dxa"/>
              <w:start w:w="75" w:type="dxa"/>
              <w:bottom w:w="65" w:type="dxa"/>
              <w:end w:w="75" w:type="dxa"/>
            </w:tcMar>
          </w:tcPr>
          <w:p>
            <w:pPr>
              <w:spacing w:after="0" w:line="259" w:lineRule="auto"/>
            </w:pPr>
            <w:r>
              <w:rPr>
                <w:rFonts w:ascii="Lato" w:hAnsi="Lato"/>
                <w:color w:val="202D33"/>
                <w:sz w:val="15"/>
              </w:rPr>
              <w:t>Pilot zone map, data coverage and risk layers; candidate sites and physical availability.</w:t>
            </w:r>
          </w:p>
        </w:tc>
        <w:tc>
          <w:tcPr>
            <w:tcW w:type="dxa" w:w="3211"/>
            <w:vAlign w:val="center"/>
            <w:tcMar>
              <w:top w:w="65" w:type="dxa"/>
              <w:start w:w="75" w:type="dxa"/>
              <w:bottom w:w="65" w:type="dxa"/>
              <w:end w:w="75" w:type="dxa"/>
            </w:tcMar>
          </w:tcPr>
          <w:p>
            <w:pPr>
              <w:spacing w:after="0" w:line="259" w:lineRule="auto"/>
            </w:pPr>
            <w:r>
              <w:rPr>
                <w:rFonts w:ascii="Lato" w:hAnsi="Lato"/>
                <w:color w:val="202D33"/>
                <w:sz w:val="15"/>
              </w:rPr>
              <w:t>Select zone/map layer.</w:t>
            </w:r>
          </w:p>
        </w:tc>
      </w:tr>
      <w:tr>
        <w:trPr>
          <w:cantSplit/>
        </w:trPr>
        <w:tc>
          <w:tcPr>
            <w:tcW w:type="dxa" w:w="1685"/>
            <w:vAlign w:val="center"/>
            <w:tcMar>
              <w:top w:w="65" w:type="dxa"/>
              <w:start w:w="75" w:type="dxa"/>
              <w:bottom w:w="65" w:type="dxa"/>
              <w:end w:w="75" w:type="dxa"/>
            </w:tcMar>
            <w:shd w:fill="F0F5F5"/>
          </w:tcPr>
          <w:p>
            <w:pPr>
              <w:spacing w:after="0" w:line="259" w:lineRule="auto"/>
            </w:pPr>
            <w:r>
              <w:rPr>
                <w:rFonts w:ascii="Lato" w:hAnsi="Lato"/>
                <w:color w:val="202D33"/>
                <w:sz w:val="15"/>
              </w:rPr>
              <w:t>2. Investment Optimiser</w:t>
            </w:r>
          </w:p>
        </w:tc>
        <w:tc>
          <w:tcPr>
            <w:tcW w:type="dxa" w:w="4925"/>
            <w:vAlign w:val="center"/>
            <w:tcMar>
              <w:top w:w="65" w:type="dxa"/>
              <w:start w:w="75" w:type="dxa"/>
              <w:bottom w:w="65" w:type="dxa"/>
              <w:end w:w="75" w:type="dxa"/>
            </w:tcMar>
            <w:shd w:fill="F0F5F5"/>
          </w:tcPr>
          <w:p>
            <w:pPr>
              <w:spacing w:after="0" w:line="259" w:lineRule="auto"/>
            </w:pPr>
            <w:r>
              <w:rPr>
                <w:rFonts w:ascii="Lato" w:hAnsi="Lato"/>
                <w:color w:val="202D33"/>
                <w:sz w:val="15"/>
              </w:rPr>
              <w:t>Budget, priority modes, weights, equity floor, solver status, selected projects and cost/benefit plots.</w:t>
            </w:r>
          </w:p>
        </w:tc>
        <w:tc>
          <w:tcPr>
            <w:tcW w:type="dxa" w:w="3211"/>
            <w:vAlign w:val="center"/>
            <w:tcMar>
              <w:top w:w="65" w:type="dxa"/>
              <w:start w:w="75" w:type="dxa"/>
              <w:bottom w:w="65" w:type="dxa"/>
              <w:end w:w="75" w:type="dxa"/>
            </w:tcMar>
            <w:shd w:fill="F0F5F5"/>
          </w:tcPr>
          <w:p>
            <w:pPr>
              <w:spacing w:after="0" w:line="259" w:lineRule="auto"/>
            </w:pPr>
            <w:r>
              <w:rPr>
                <w:rFonts w:ascii="Lato" w:hAnsi="Lato"/>
                <w:color w:val="202D33"/>
                <w:sz w:val="15"/>
              </w:rPr>
              <w:t>Budget, priorities and feasibility settings.</w:t>
            </w:r>
          </w:p>
        </w:tc>
      </w:tr>
      <w:tr>
        <w:trPr>
          <w:cantSplit/>
        </w:trPr>
        <w:tc>
          <w:tcPr>
            <w:tcW w:type="dxa" w:w="1685"/>
            <w:vAlign w:val="center"/>
            <w:tcMar>
              <w:top w:w="65" w:type="dxa"/>
              <w:start w:w="75" w:type="dxa"/>
              <w:bottom w:w="65" w:type="dxa"/>
              <w:end w:w="75" w:type="dxa"/>
            </w:tcMar>
          </w:tcPr>
          <w:p>
            <w:pPr>
              <w:spacing w:after="0" w:line="259" w:lineRule="auto"/>
            </w:pPr>
            <w:r>
              <w:rPr>
                <w:rFonts w:ascii="Lato" w:hAnsi="Lato"/>
                <w:color w:val="202D33"/>
                <w:sz w:val="15"/>
              </w:rPr>
              <w:t>3. Climate Shock Lab</w:t>
            </w:r>
          </w:p>
        </w:tc>
        <w:tc>
          <w:tcPr>
            <w:tcW w:type="dxa" w:w="4925"/>
            <w:vAlign w:val="center"/>
            <w:tcMar>
              <w:top w:w="65" w:type="dxa"/>
              <w:start w:w="75" w:type="dxa"/>
              <w:bottom w:w="65" w:type="dxa"/>
              <w:end w:w="75" w:type="dxa"/>
            </w:tcMar>
          </w:tcPr>
          <w:p>
            <w:pPr>
              <w:spacing w:after="0" w:line="259" w:lineRule="auto"/>
            </w:pPr>
            <w:r>
              <w:rPr>
                <w:rFonts w:ascii="Lato" w:hAnsi="Lato"/>
                <w:color w:val="202D33"/>
                <w:sz w:val="15"/>
              </w:rPr>
              <w:t>Baseline vs old-plan-under-shock vs reoptimised result; project additions/removals.</w:t>
            </w:r>
          </w:p>
        </w:tc>
        <w:tc>
          <w:tcPr>
            <w:tcW w:type="dxa" w:w="3211"/>
            <w:vAlign w:val="center"/>
            <w:tcMar>
              <w:top w:w="65" w:type="dxa"/>
              <w:start w:w="75" w:type="dxa"/>
              <w:bottom w:w="65" w:type="dxa"/>
              <w:end w:w="75" w:type="dxa"/>
            </w:tcMar>
          </w:tcPr>
          <w:p>
            <w:pPr>
              <w:spacing w:after="0" w:line="259" w:lineRule="auto"/>
            </w:pPr>
            <w:r>
              <w:rPr>
                <w:rFonts w:ascii="Lato" w:hAnsi="Lato"/>
                <w:color w:val="202D33"/>
                <w:sz w:val="15"/>
              </w:rPr>
              <w:t>Choose shock and parameters.</w:t>
            </w:r>
          </w:p>
        </w:tc>
      </w:tr>
      <w:tr>
        <w:trPr>
          <w:cantSplit/>
        </w:trPr>
        <w:tc>
          <w:tcPr>
            <w:tcW w:type="dxa" w:w="1685"/>
            <w:vAlign w:val="center"/>
            <w:tcMar>
              <w:top w:w="65" w:type="dxa"/>
              <w:start w:w="75" w:type="dxa"/>
              <w:bottom w:w="65" w:type="dxa"/>
              <w:end w:w="75" w:type="dxa"/>
            </w:tcMar>
            <w:shd w:fill="F0F5F5"/>
          </w:tcPr>
          <w:p>
            <w:pPr>
              <w:spacing w:after="0" w:line="259" w:lineRule="auto"/>
            </w:pPr>
            <w:r>
              <w:rPr>
                <w:rFonts w:ascii="Lato" w:hAnsi="Lato"/>
                <w:color w:val="202D33"/>
                <w:sz w:val="15"/>
              </w:rPr>
              <w:t>4. Decision Intelligence</w:t>
            </w:r>
          </w:p>
        </w:tc>
        <w:tc>
          <w:tcPr>
            <w:tcW w:type="dxa" w:w="4925"/>
            <w:vAlign w:val="center"/>
            <w:tcMar>
              <w:top w:w="65" w:type="dxa"/>
              <w:start w:w="75" w:type="dxa"/>
              <w:bottom w:w="65" w:type="dxa"/>
              <w:end w:w="75" w:type="dxa"/>
            </w:tcMar>
            <w:shd w:fill="F0F5F5"/>
          </w:tcPr>
          <w:p>
            <w:pPr>
              <w:spacing w:after="0" w:line="259" w:lineRule="auto"/>
            </w:pPr>
            <w:r>
              <w:rPr>
                <w:rFonts w:ascii="Lato" w:hAnsi="Lato"/>
                <w:color w:val="202D33"/>
                <w:sz w:val="15"/>
              </w:rPr>
              <w:t>Alternatives, score contributions, beneficiary distribution, uncertainties and sources.</w:t>
            </w:r>
          </w:p>
        </w:tc>
        <w:tc>
          <w:tcPr>
            <w:tcW w:type="dxa" w:w="3211"/>
            <w:vAlign w:val="center"/>
            <w:tcMar>
              <w:top w:w="65" w:type="dxa"/>
              <w:start w:w="75" w:type="dxa"/>
              <w:bottom w:w="65" w:type="dxa"/>
              <w:end w:w="75" w:type="dxa"/>
            </w:tcMar>
            <w:shd w:fill="F0F5F5"/>
          </w:tcPr>
          <w:p>
            <w:pPr>
              <w:spacing w:after="0" w:line="259" w:lineRule="auto"/>
            </w:pPr>
            <w:r>
              <w:rPr>
                <w:rFonts w:ascii="Lato" w:hAnsi="Lato"/>
                <w:color w:val="202D33"/>
                <w:sz w:val="15"/>
              </w:rPr>
              <w:t>Compare saved run IDs; ask for reasons.</w:t>
            </w:r>
          </w:p>
        </w:tc>
      </w:tr>
    </w:tbl>
    <w:p>
      <w:pPr>
        <w:spacing w:after="40"/>
      </w:pPr>
    </w:p>
    <w:p>
      <w:pPr>
        <w:pStyle w:val="Heading2"/>
      </w:pPr>
      <w:r>
        <w:t>7.1 Evidence-grounded explanations</w:t>
      </w:r>
    </w:p>
    <w:p>
      <w:r>
        <w:t>First construct deterministic explanation objects from the solver and physical evaluator: reason selected, reason rejected, binding constraints, objective contributions, equity results, uncertain assumptions and potential unintended consequences. Only then, optionally ask Amazon Bedrock to rewrite that structured evidence into clear planning language. Reject or fall back if the narration contradicts saved numbers. [R7, BP]</w:t>
      </w:r>
    </w:p>
    <w:p>
      <w:pPr>
        <w:pStyle w:val="Heading2"/>
      </w:pPr>
      <w:r>
        <w:t>7.2 Unintended consequences checklist</w:t>
      </w:r>
    </w:p>
    <w:p>
      <w:pPr>
        <w:pStyle w:val="ListBullet"/>
      </w:pPr>
      <w:r>
        <w:t>Water consumption for tree maintenance or green infrastructure during drought.</w:t>
      </w:r>
    </w:p>
    <w:p>
      <w:pPr>
        <w:pStyle w:val="ListBullet"/>
      </w:pPr>
      <w:r>
        <w:t>Maintenance liability, runoff overflow migration, drainage bottlenecks and roof-capacity competition.</w:t>
      </w:r>
    </w:p>
    <w:p>
      <w:pPr>
        <w:pStyle w:val="ListBullet"/>
      </w:pPr>
      <w:r>
        <w:t>Unequal benefits, inaccessible greenspace and possible gentrification concerns, labelled as risks rather than predictions. [R8]</w:t>
      </w:r>
    </w:p>
    <w:p>
      <w:pPr>
        <w:pStyle w:val="ListBullet"/>
      </w:pPr>
      <w:r>
        <w:t>Uncertain benefits from transferred studies, coarse-resolution rainfall data or missing local evidence.</w:t>
      </w:r>
    </w:p>
    <w:p>
      <w:pPr>
        <w:pStyle w:val="Heading2"/>
      </w:pPr>
      <w:r>
        <w:t>7.3 Shareable planning brief — P1</w:t>
      </w:r>
    </w:p>
    <w:p>
      <w:r>
        <w:t>Generate a one-page decision summary from an immutable run ID: location, date, scenario, budget, objectives, selected projects, total cost, benefits by zone, trade-offs, evidence grade, limitations and responsible review actions. Do not permit the exported report to diverge from the saved run.</w:t>
      </w:r>
    </w:p>
    <w:p>
      <w:pPr>
        <w:pStyle w:val="Heading1"/>
      </w:pPr>
      <w:r>
        <w:t>8. Immutable runs, schemas and reproducibility</w:t>
      </w:r>
    </w:p>
    <w:p>
      <w:pPr>
        <w:pStyle w:val="Heading2"/>
      </w:pPr>
      <w:r>
        <w:t>8.1 Why this is essential</w:t>
      </w:r>
    </w:p>
    <w:p>
      <w:r>
        <w:t>Every user change creates a new, reproducible run snapshot (or reuses an exact cached result with provenance). This is a principal addition from the uploaded AWS/CKAN blueprint, especially its typed contracts, immutable run IDs and visible data gaps. [BP]</w:t>
      </w:r>
    </w:p>
    <w:p>
      <w:pPr>
        <w:pStyle w:val="Heading2"/>
      </w:pPr>
      <w:r>
        <w:t>8.2 Minimal typed data objects</w:t>
      </w:r>
    </w:p>
    <w:tbl>
      <w:tblPr>
        <w:tblW w:type="auto" w:w="0"/>
        <w:jc w:val="center"/>
        <w:tblLayout w:type="fixed"/>
        <w:tblLook w:firstColumn="1" w:firstRow="1" w:lastColumn="0" w:lastRow="0" w:noHBand="0" w:noVBand="1" w:val="04A0"/>
      </w:tblPr>
      <w:tblGrid>
        <w:gridCol w:w="1958"/>
        <w:gridCol w:w="7862"/>
      </w:tblGrid>
      <w:tr>
        <w:trPr>
          <w:tblHeader w:val="true"/>
          <w:cantSplit/>
        </w:trPr>
        <w:tc>
          <w:tcPr>
            <w:tcW w:type="dxa" w:w="1958"/>
            <w:shd w:fill="143A49"/>
            <w:tcMar>
              <w:top w:w="85" w:type="dxa"/>
              <w:start w:w="85" w:type="dxa"/>
              <w:bottom w:w="85" w:type="dxa"/>
              <w:end w:w="85" w:type="dxa"/>
            </w:tcMar>
          </w:tcPr>
          <w:p>
            <w:pPr>
              <w:spacing w:after="0"/>
            </w:pPr>
            <w:r>
              <w:rPr>
                <w:rFonts w:ascii="Lato" w:hAnsi="Lato"/>
                <w:b/>
                <w:color w:val="FFFFFF"/>
                <w:sz w:val="15"/>
              </w:rPr>
              <w:t>Object</w:t>
            </w:r>
          </w:p>
        </w:tc>
        <w:tc>
          <w:tcPr>
            <w:tcW w:type="dxa" w:w="7862"/>
            <w:shd w:fill="143A49"/>
            <w:tcMar>
              <w:top w:w="85" w:type="dxa"/>
              <w:start w:w="85" w:type="dxa"/>
              <w:bottom w:w="85" w:type="dxa"/>
              <w:end w:w="85" w:type="dxa"/>
            </w:tcMar>
          </w:tcPr>
          <w:p>
            <w:pPr>
              <w:spacing w:after="0"/>
            </w:pPr>
            <w:r>
              <w:rPr>
                <w:rFonts w:ascii="Lato" w:hAnsi="Lato"/>
                <w:b/>
                <w:color w:val="FFFFFF"/>
                <w:sz w:val="15"/>
              </w:rPr>
              <w:t>Must contain</w:t>
            </w:r>
          </w:p>
        </w:tc>
      </w:tr>
      <w:tr>
        <w:trPr>
          <w:cantSplit/>
        </w:trPr>
        <w:tc>
          <w:tcPr>
            <w:tcW w:type="dxa" w:w="1958"/>
            <w:vAlign w:val="center"/>
            <w:tcMar>
              <w:top w:w="65" w:type="dxa"/>
              <w:start w:w="75" w:type="dxa"/>
              <w:bottom w:w="65" w:type="dxa"/>
              <w:end w:w="75" w:type="dxa"/>
            </w:tcMar>
          </w:tcPr>
          <w:p>
            <w:pPr>
              <w:spacing w:after="0" w:line="259" w:lineRule="auto"/>
            </w:pPr>
            <w:r>
              <w:rPr>
                <w:rFonts w:ascii="Lato" w:hAnsi="Lato"/>
                <w:color w:val="202D33"/>
                <w:sz w:val="15"/>
              </w:rPr>
              <w:t>Indicator</w:t>
            </w:r>
          </w:p>
        </w:tc>
        <w:tc>
          <w:tcPr>
            <w:tcW w:type="dxa" w:w="7862"/>
            <w:vAlign w:val="center"/>
            <w:tcMar>
              <w:top w:w="65" w:type="dxa"/>
              <w:start w:w="75" w:type="dxa"/>
              <w:bottom w:w="65" w:type="dxa"/>
              <w:end w:w="75" w:type="dxa"/>
            </w:tcMar>
          </w:tcPr>
          <w:p>
            <w:pPr>
              <w:spacing w:after="0" w:line="259" w:lineRule="auto"/>
            </w:pPr>
            <w:r>
              <w:rPr>
                <w:rFonts w:ascii="Lato" w:hAnsi="Lato"/>
                <w:color w:val="202D33"/>
                <w:sz w:val="15"/>
              </w:rPr>
              <w:t>key, value, unit, direction, zone, spatial scale, source, observation date, evidence grade, uncertainty range/flag</w:t>
            </w:r>
          </w:p>
        </w:tc>
      </w:tr>
      <w:tr>
        <w:trPr>
          <w:cantSplit/>
        </w:trPr>
        <w:tc>
          <w:tcPr>
            <w:tcW w:type="dxa" w:w="1958"/>
            <w:vAlign w:val="center"/>
            <w:tcMar>
              <w:top w:w="65" w:type="dxa"/>
              <w:start w:w="75" w:type="dxa"/>
              <w:bottom w:w="65" w:type="dxa"/>
              <w:end w:w="75" w:type="dxa"/>
            </w:tcMar>
            <w:shd w:fill="F0F5F5"/>
          </w:tcPr>
          <w:p>
            <w:pPr>
              <w:spacing w:after="0" w:line="259" w:lineRule="auto"/>
            </w:pPr>
            <w:r>
              <w:rPr>
                <w:rFonts w:ascii="Lato" w:hAnsi="Lato"/>
                <w:color w:val="202D33"/>
                <w:sz w:val="15"/>
              </w:rPr>
              <w:t>CandidateProject</w:t>
            </w:r>
          </w:p>
        </w:tc>
        <w:tc>
          <w:tcPr>
            <w:tcW w:type="dxa" w:w="7862"/>
            <w:vAlign w:val="center"/>
            <w:tcMar>
              <w:top w:w="65" w:type="dxa"/>
              <w:start w:w="75" w:type="dxa"/>
              <w:bottom w:w="65" w:type="dxa"/>
              <w:end w:w="75" w:type="dxa"/>
            </w:tcMar>
            <w:shd w:fill="F0F5F5"/>
          </w:tcPr>
          <w:p>
            <w:pPr>
              <w:spacing w:after="0" w:line="259" w:lineRule="auto"/>
            </w:pPr>
            <w:r>
              <w:rPr>
                <w:rFonts w:ascii="Lato" w:hAnsi="Lato"/>
                <w:color w:val="202D33"/>
                <w:sz w:val="15"/>
              </w:rPr>
              <w:t>project ID/type/zone, resource requirements, eligibility, capex/O&amp;M, unit benefits, interactions, evidence</w:t>
            </w:r>
          </w:p>
        </w:tc>
      </w:tr>
      <w:tr>
        <w:trPr>
          <w:cantSplit/>
        </w:trPr>
        <w:tc>
          <w:tcPr>
            <w:tcW w:type="dxa" w:w="1958"/>
            <w:vAlign w:val="center"/>
            <w:tcMar>
              <w:top w:w="65" w:type="dxa"/>
              <w:start w:w="75" w:type="dxa"/>
              <w:bottom w:w="65" w:type="dxa"/>
              <w:end w:w="75" w:type="dxa"/>
            </w:tcMar>
          </w:tcPr>
          <w:p>
            <w:pPr>
              <w:spacing w:after="0" w:line="259" w:lineRule="auto"/>
            </w:pPr>
            <w:r>
              <w:rPr>
                <w:rFonts w:ascii="Lato" w:hAnsi="Lato"/>
                <w:color w:val="202D33"/>
                <w:sz w:val="15"/>
              </w:rPr>
              <w:t>ScenarioRequest</w:t>
            </w:r>
          </w:p>
        </w:tc>
        <w:tc>
          <w:tcPr>
            <w:tcW w:type="dxa" w:w="7862"/>
            <w:vAlign w:val="center"/>
            <w:tcMar>
              <w:top w:w="65" w:type="dxa"/>
              <w:start w:w="75" w:type="dxa"/>
              <w:bottom w:w="65" w:type="dxa"/>
              <w:end w:w="75" w:type="dxa"/>
            </w:tcMar>
          </w:tcPr>
          <w:p>
            <w:pPr>
              <w:spacing w:after="0" w:line="259" w:lineRule="auto"/>
            </w:pPr>
            <w:r>
              <w:rPr>
                <w:rFonts w:ascii="Lato" w:hAnsi="Lato"/>
                <w:color w:val="202D33"/>
                <w:sz w:val="15"/>
              </w:rPr>
              <w:t>area and baseline version, budget, priority weights, equity settings, shock parameters, committed IDs</w:t>
            </w:r>
          </w:p>
        </w:tc>
      </w:tr>
      <w:tr>
        <w:trPr>
          <w:cantSplit/>
        </w:trPr>
        <w:tc>
          <w:tcPr>
            <w:tcW w:type="dxa" w:w="1958"/>
            <w:vAlign w:val="center"/>
            <w:tcMar>
              <w:top w:w="65" w:type="dxa"/>
              <w:start w:w="75" w:type="dxa"/>
              <w:bottom w:w="65" w:type="dxa"/>
              <w:end w:w="75" w:type="dxa"/>
            </w:tcMar>
            <w:shd w:fill="F0F5F5"/>
          </w:tcPr>
          <w:p>
            <w:pPr>
              <w:spacing w:after="0" w:line="259" w:lineRule="auto"/>
            </w:pPr>
            <w:r>
              <w:rPr>
                <w:rFonts w:ascii="Lato" w:hAnsi="Lato"/>
                <w:color w:val="202D33"/>
                <w:sz w:val="15"/>
              </w:rPr>
              <w:t>RunResult</w:t>
            </w:r>
          </w:p>
        </w:tc>
        <w:tc>
          <w:tcPr>
            <w:tcW w:type="dxa" w:w="7862"/>
            <w:vAlign w:val="center"/>
            <w:tcMar>
              <w:top w:w="65" w:type="dxa"/>
              <w:start w:w="75" w:type="dxa"/>
              <w:bottom w:w="65" w:type="dxa"/>
              <w:end w:w="75" w:type="dxa"/>
            </w:tcMar>
            <w:shd w:fill="F0F5F5"/>
          </w:tcPr>
          <w:p>
            <w:pPr>
              <w:spacing w:after="0" w:line="259" w:lineRule="auto"/>
            </w:pPr>
            <w:r>
              <w:rPr>
                <w:rFonts w:ascii="Lato" w:hAnsi="Lato"/>
                <w:color w:val="202D33"/>
                <w:sz w:val="15"/>
              </w:rPr>
              <w:t>run ID, created time, dataset/model version, solver status, selected projects, metrics, scores, assumptions and citations</w:t>
            </w:r>
          </w:p>
        </w:tc>
      </w:tr>
    </w:tbl>
    <w:p>
      <w:pPr>
        <w:spacing w:after="40"/>
      </w:pPr>
    </w:p>
    <w:p>
      <w:pPr>
        <w:pStyle w:val="Heading2"/>
      </w:pPr>
      <w:r>
        <w:t>8.3 Version and caching rules</w:t>
      </w:r>
    </w:p>
    <w:p>
      <w:pPr>
        <w:pStyle w:val="ListBullet"/>
      </w:pPr>
      <w:r>
        <w:t>Use a deterministic input hash of zone snapshot, intervention catalogue version, objectives/weights, hard constraints, shock overrides and model version.</w:t>
      </w:r>
    </w:p>
    <w:p>
      <w:pPr>
        <w:pStyle w:val="ListBullet"/>
      </w:pPr>
      <w:r>
        <w:t>Save a manifest and all outputs as JSON, initially under local /runs and optionally upload to a private S3 prefix. Never overwrite a historical run in place.</w:t>
      </w:r>
    </w:p>
    <w:p>
      <w:pPr>
        <w:pStyle w:val="ListBullet"/>
      </w:pPr>
      <w:r>
        <w:t>Validate numeric types, non-negative costs, units and categorical choices with Pydantic before invoking the solver.</w:t>
      </w:r>
    </w:p>
    <w:p>
      <w:pPr>
        <w:pStyle w:val="ListBullet"/>
      </w:pPr>
      <w:r>
        <w:t>Keep raw physical values and normalized scores separate; display both where useful.</w:t>
      </w:r>
    </w:p>
    <w:p>
      <w:pPr>
        <w:pStyle w:val="Heading2"/>
      </w:pPr>
      <w:r>
        <w:t>8.4 Fully specified run object and contract invariants</w:t>
      </w:r>
    </w:p>
    <w:p>
      <w:r>
        <w:t>Use Pydantic v2 schemas (or equivalent validated dataclasses) to implement these exact internal contracts. All arrays/maps are immutable snapshots when saved, and all scalar output fields require units or a corresponding unit definition.</w:t>
      </w:r>
    </w:p>
    <w:p>
      <w:pPr>
        <w:pStyle w:val="ListBullet"/>
      </w:pPr>
      <w:r>
        <w:t>Indicator: indicator_id, zone_id, numeric_value nullable, unit, better_direction, source_id, observation_period, geometry_scale, evidence_grade, uncertainty_low/high, missing_reason.</w:t>
      </w:r>
    </w:p>
    <w:p>
      <w:pPr>
        <w:pStyle w:val="ListBullet"/>
      </w:pPr>
      <w:r>
        <w:t>CandidateProject: candidate_id, zone_id, site_id, type enum[green_roof, urban_forest, rainwater_harvesting, drainage_upgrade], capex_inr, opex_inr_y, life_y, resource_demands, upper_bound, prerequisites, exclusions, coefficients_by_scenario, source_ids.</w:t>
      </w:r>
    </w:p>
    <w:p>
      <w:pPr>
        <w:pStyle w:val="ListBullet"/>
      </w:pPr>
      <w:r>
        <w:t>ScenarioRequest: area_id, baseline_version, project_catalog_version, model_version, budget_inr, weights (F/W/H/G/Equity/LCC), equity_floor, scenario_id, overrides, committed_candidate_ids.</w:t>
      </w:r>
    </w:p>
    <w:p>
      <w:pPr>
        <w:pStyle w:val="ListBullet"/>
      </w:pPr>
      <w:r>
        <w:t>RunResult: immutable run_id, input_hash, created_at_utc, solver_status, selected_candidate_counts, raw_objectives_with_units, normalised_components, score_contributions, constraint_slack, baseline_and_shock_metrics, outcomes_by_zone, assumptions, gaps, source_ids, warnings.</w:t>
      </w:r>
    </w:p>
    <w:p>
      <w:pPr>
        <w:pStyle w:val="ListBullet"/>
      </w:pPr>
      <w:r>
        <w:t>DecisionExplanation: selected_and_rejected_reasons, relevant_computed_numbers, counterfactuals, limitations, source_ids, explanation_source (deterministic/Bedrock), validation_passed.</w:t>
      </w:r>
    </w:p>
    <w:p>
      <w:pPr>
        <w:pStyle w:val="ListBullet"/>
      </w:pPr>
      <w:r>
        <w:t>Every API/function must return a structured error for missing sources, infeasible constraints, invalid normalization bounds or unexpected model arithmetic; never fabricate a populated success object.</w:t>
      </w:r>
    </w:p>
    <w:p>
      <w:pPr>
        <w:pStyle w:val="Heading2"/>
      </w:pPr>
      <w:r>
        <w:t>8.5 Canonical engine interfaces</w:t>
      </w:r>
    </w:p>
    <w:p>
      <w:pPr>
        <w:pStyle w:val="CodeNote"/>
      </w:pPr>
      <w:r>
        <w:t>load_baseline(area_id:str, version:str) -&gt; BaselineSnapshot</w:t>
      </w:r>
    </w:p>
    <w:p>
      <w:pPr>
        <w:pStyle w:val="CodeNote"/>
      </w:pPr>
      <w:r>
        <w:t>validate_catalogue(snapshot, catalogue) -&gt; EligibilityReport</w:t>
      </w:r>
    </w:p>
    <w:p>
      <w:pPr>
        <w:pStyle w:val="CodeNote"/>
      </w:pPr>
      <w:r>
        <w:t>evaluate_portfolio(snapshot, projects, scenario) -&gt; PhysicalOutcomes</w:t>
      </w:r>
    </w:p>
    <w:p>
      <w:pPr>
        <w:pStyle w:val="CodeNote"/>
      </w:pPr>
      <w:r>
        <w:t>build_linear_coefficients(snapshot, catalogue, scenario) -&gt; CoefficientMatrix</w:t>
      </w:r>
    </w:p>
    <w:p>
      <w:pPr>
        <w:pStyle w:val="CodeNote"/>
      </w:pPr>
      <w:r>
        <w:t>optimise(request, snapshot, coefficients) -&gt; SolverResult</w:t>
      </w:r>
    </w:p>
    <w:p>
      <w:pPr>
        <w:pStyle w:val="CodeNote"/>
      </w:pPr>
      <w:r>
        <w:t>run_scenario(request) -&gt; RunResult</w:t>
      </w:r>
    </w:p>
    <w:p>
      <w:pPr>
        <w:pStyle w:val="CodeNote"/>
      </w:pPr>
      <w:r>
        <w:t>explain_deterministically(run:RunResult) -&gt; DecisionExplanation</w:t>
      </w:r>
    </w:p>
    <w:p>
      <w:pPr>
        <w:pStyle w:val="CodeNote"/>
      </w:pPr>
      <w:r>
        <w:t>save_run(run:RunResult) -&gt; RunRef    # do not overwrite</w:t>
      </w:r>
    </w:p>
    <w:p>
      <w:pPr>
        <w:pStyle w:val="CodeNote"/>
      </w:pPr>
      <w:r>
        <w:t>load_run(run_id:str) -&gt; RunResult</w:t>
      </w:r>
    </w:p>
    <w:p>
      <w:r>
        <w:t>For a Streamlit single-process MVP these are Python interfaces; FastAPI endpoints are optional and should not be added merely for architectural appearance. All UI computations call these functions rather than duplicating formulas in widgets.</w:t>
      </w:r>
    </w:p>
    <w:p>
      <w:pPr>
        <w:pStyle w:val="Heading1"/>
      </w:pPr>
      <w:r>
        <w:t>9. AWS and application architecture</w:t>
      </w:r>
    </w:p>
    <w:p>
      <w:pPr>
        <w:pStyle w:val="Heading2"/>
      </w:pPr>
      <w:r>
        <w:t>9.1 Default architecture: smallest valuable deployment</w:t>
      </w:r>
    </w:p>
    <w:tbl>
      <w:tblPr>
        <w:tblW w:type="auto" w:w="0"/>
        <w:tblLook w:firstColumn="1" w:firstRow="1" w:lastColumn="0" w:lastRow="0" w:noHBand="0" w:noVBand="1" w:val="04A0"/>
      </w:tblPr>
      <w:tblGrid>
        <w:gridCol w:w="9749"/>
      </w:tblGrid>
      <w:tr>
        <w:tc>
          <w:tcPr>
            <w:tcW w:type="dxa" w:w="9749"/>
            <w:shd w:fill="EAF5F3"/>
            <w:tcMar>
              <w:top w:w="120" w:type="dxa"/>
              <w:start w:w="150" w:type="dxa"/>
              <w:bottom w:w="110" w:type="dxa"/>
              <w:end w:w="150" w:type="dxa"/>
            </w:tcMar>
          </w:tcPr>
          <w:p>
            <w:pPr>
              <w:spacing w:after="80"/>
            </w:pPr>
            <w:r>
              <w:rPr>
                <w:b/>
                <w:color w:val="0F7671"/>
                <w:sz w:val="16"/>
              </w:rPr>
              <w:t>DATA FLOW</w:t>
            </w:r>
          </w:p>
          <w:p>
            <w:pPr>
              <w:spacing w:after="0"/>
            </w:pPr>
            <w:r>
              <w:rPr>
                <w:sz w:val="18"/>
              </w:rPr>
              <w:t>Curated source layers and assumptions → Pydantic validation / optional S3 snapshots → Python physical evaluators → MILP allocation → scenario recomputation → immutable run result → Streamlit dashboard and deterministic explanation → optional Amazon Bedrock narration.</w:t>
            </w:r>
          </w:p>
        </w:tc>
      </w:tr>
    </w:tbl>
    <w:p>
      <w:pPr>
        <w:spacing w:after="20"/>
      </w:pPr>
    </w:p>
    <w:tbl>
      <w:tblPr>
        <w:tblW w:type="auto" w:w="0"/>
        <w:jc w:val="center"/>
        <w:tblLayout w:type="fixed"/>
        <w:tblLook w:firstColumn="1" w:firstRow="1" w:lastColumn="0" w:lastRow="0" w:noHBand="0" w:noVBand="1" w:val="04A0"/>
      </w:tblPr>
      <w:tblGrid>
        <w:gridCol w:w="2102"/>
        <w:gridCol w:w="1325"/>
        <w:gridCol w:w="6394"/>
      </w:tblGrid>
      <w:tr>
        <w:trPr>
          <w:tblHeader w:val="true"/>
          <w:cantSplit/>
        </w:trPr>
        <w:tc>
          <w:tcPr>
            <w:tcW w:type="dxa" w:w="2102"/>
            <w:shd w:fill="143A49"/>
            <w:tcMar>
              <w:top w:w="85" w:type="dxa"/>
              <w:start w:w="85" w:type="dxa"/>
              <w:bottom w:w="85" w:type="dxa"/>
              <w:end w:w="85" w:type="dxa"/>
            </w:tcMar>
          </w:tcPr>
          <w:p>
            <w:pPr>
              <w:spacing w:after="0"/>
            </w:pPr>
            <w:r>
              <w:rPr>
                <w:rFonts w:ascii="Lato" w:hAnsi="Lato"/>
                <w:b/>
                <w:color w:val="FFFFFF"/>
                <w:sz w:val="15"/>
              </w:rPr>
              <w:t>Service / tool</w:t>
            </w:r>
          </w:p>
        </w:tc>
        <w:tc>
          <w:tcPr>
            <w:tcW w:type="dxa" w:w="1325"/>
            <w:shd w:fill="143A49"/>
            <w:tcMar>
              <w:top w:w="85" w:type="dxa"/>
              <w:start w:w="85" w:type="dxa"/>
              <w:bottom w:w="85" w:type="dxa"/>
              <w:end w:w="85" w:type="dxa"/>
            </w:tcMar>
          </w:tcPr>
          <w:p>
            <w:pPr>
              <w:spacing w:after="0"/>
            </w:pPr>
            <w:r>
              <w:rPr>
                <w:rFonts w:ascii="Lato" w:hAnsi="Lato"/>
                <w:b/>
                <w:color w:val="FFFFFF"/>
                <w:sz w:val="15"/>
              </w:rPr>
              <w:t>Disposition</w:t>
            </w:r>
          </w:p>
        </w:tc>
        <w:tc>
          <w:tcPr>
            <w:tcW w:type="dxa" w:w="6394"/>
            <w:shd w:fill="143A49"/>
            <w:tcMar>
              <w:top w:w="85" w:type="dxa"/>
              <w:start w:w="85" w:type="dxa"/>
              <w:bottom w:w="85" w:type="dxa"/>
              <w:end w:w="85" w:type="dxa"/>
            </w:tcMar>
          </w:tcPr>
          <w:p>
            <w:pPr>
              <w:spacing w:after="0"/>
            </w:pPr>
            <w:r>
              <w:rPr>
                <w:rFonts w:ascii="Lato" w:hAnsi="Lato"/>
                <w:b/>
                <w:color w:val="FFFFFF"/>
                <w:sz w:val="15"/>
              </w:rPr>
              <w:t>Concrete value and timing</w:t>
            </w:r>
          </w:p>
        </w:tc>
      </w:tr>
      <w:tr>
        <w:trPr>
          <w:cantSplit/>
        </w:trPr>
        <w:tc>
          <w:tcPr>
            <w:tcW w:type="dxa" w:w="2102"/>
            <w:vAlign w:val="center"/>
            <w:tcMar>
              <w:top w:w="65" w:type="dxa"/>
              <w:start w:w="75" w:type="dxa"/>
              <w:bottom w:w="65" w:type="dxa"/>
              <w:end w:w="75" w:type="dxa"/>
            </w:tcMar>
          </w:tcPr>
          <w:p>
            <w:pPr>
              <w:spacing w:after="0" w:line="259" w:lineRule="auto"/>
            </w:pPr>
            <w:r>
              <w:rPr>
                <w:rFonts w:ascii="Lato" w:hAnsi="Lato"/>
                <w:color w:val="202D33"/>
                <w:sz w:val="15"/>
              </w:rPr>
              <w:t>Amazon S3</w:t>
            </w:r>
          </w:p>
        </w:tc>
        <w:tc>
          <w:tcPr>
            <w:tcW w:type="dxa" w:w="1325"/>
            <w:vAlign w:val="center"/>
            <w:tcMar>
              <w:top w:w="65" w:type="dxa"/>
              <w:start w:w="75" w:type="dxa"/>
              <w:bottom w:w="65" w:type="dxa"/>
              <w:end w:w="75" w:type="dxa"/>
            </w:tcMar>
          </w:tcPr>
          <w:p>
            <w:pPr>
              <w:spacing w:after="0" w:line="259" w:lineRule="auto"/>
            </w:pPr>
            <w:r>
              <w:rPr>
                <w:rFonts w:ascii="Lato" w:hAnsi="Lato"/>
                <w:color w:val="202D33"/>
                <w:sz w:val="15"/>
              </w:rPr>
              <w:t>Use; P0/P1</w:t>
            </w:r>
          </w:p>
        </w:tc>
        <w:tc>
          <w:tcPr>
            <w:tcW w:type="dxa" w:w="6394"/>
            <w:vAlign w:val="center"/>
            <w:tcMar>
              <w:top w:w="65" w:type="dxa"/>
              <w:start w:w="75" w:type="dxa"/>
              <w:bottom w:w="65" w:type="dxa"/>
              <w:end w:w="75" w:type="dxa"/>
            </w:tcMar>
          </w:tcPr>
          <w:p>
            <w:pPr>
              <w:spacing w:after="0" w:line="259" w:lineRule="auto"/>
            </w:pPr>
            <w:r>
              <w:rPr>
                <w:rFonts w:ascii="Lato" w:hAnsi="Lato"/>
                <w:color w:val="202D33"/>
                <w:sz w:val="15"/>
              </w:rPr>
              <w:t>Curated input snapshots, scenario results, manifests and provenance. Local cache must work without AWS.</w:t>
            </w:r>
          </w:p>
        </w:tc>
      </w:tr>
      <w:tr>
        <w:trPr>
          <w:cantSplit/>
        </w:trPr>
        <w:tc>
          <w:tcPr>
            <w:tcW w:type="dxa" w:w="2102"/>
            <w:vAlign w:val="center"/>
            <w:tcMar>
              <w:top w:w="65" w:type="dxa"/>
              <w:start w:w="75" w:type="dxa"/>
              <w:bottom w:w="65" w:type="dxa"/>
              <w:end w:w="75" w:type="dxa"/>
            </w:tcMar>
            <w:shd w:fill="F0F5F5"/>
          </w:tcPr>
          <w:p>
            <w:pPr>
              <w:spacing w:after="0" w:line="259" w:lineRule="auto"/>
            </w:pPr>
            <w:r>
              <w:rPr>
                <w:rFonts w:ascii="Lato" w:hAnsi="Lato"/>
                <w:color w:val="202D33"/>
                <w:sz w:val="15"/>
              </w:rPr>
              <w:t>Amazon Bedrock</w:t>
            </w:r>
          </w:p>
        </w:tc>
        <w:tc>
          <w:tcPr>
            <w:tcW w:type="dxa" w:w="1325"/>
            <w:vAlign w:val="center"/>
            <w:tcMar>
              <w:top w:w="65" w:type="dxa"/>
              <w:start w:w="75" w:type="dxa"/>
              <w:bottom w:w="65" w:type="dxa"/>
              <w:end w:w="75" w:type="dxa"/>
            </w:tcMar>
            <w:shd w:fill="F0F5F5"/>
          </w:tcPr>
          <w:p>
            <w:pPr>
              <w:spacing w:after="0" w:line="259" w:lineRule="auto"/>
            </w:pPr>
            <w:r>
              <w:rPr>
                <w:rFonts w:ascii="Lato" w:hAnsi="Lato"/>
                <w:color w:val="202D33"/>
                <w:sz w:val="15"/>
              </w:rPr>
              <w:t>Conditional P1</w:t>
            </w:r>
          </w:p>
        </w:tc>
        <w:tc>
          <w:tcPr>
            <w:tcW w:type="dxa" w:w="6394"/>
            <w:vAlign w:val="center"/>
            <w:tcMar>
              <w:top w:w="65" w:type="dxa"/>
              <w:start w:w="75" w:type="dxa"/>
              <w:bottom w:w="65" w:type="dxa"/>
              <w:end w:w="75" w:type="dxa"/>
            </w:tcMar>
            <w:shd w:fill="F0F5F5"/>
          </w:tcPr>
          <w:p>
            <w:pPr>
              <w:spacing w:after="0" w:line="259" w:lineRule="auto"/>
            </w:pPr>
            <w:r>
              <w:rPr>
                <w:rFonts w:ascii="Lato" w:hAnsi="Lato"/>
                <w:color w:val="202D33"/>
                <w:sz w:val="15"/>
              </w:rPr>
              <w:t>Planner-friendly narration grounded in run JSON/evidence; no numerical decisions. Confirm model/IAM access before use.</w:t>
            </w:r>
          </w:p>
        </w:tc>
      </w:tr>
      <w:tr>
        <w:trPr>
          <w:cantSplit/>
        </w:trPr>
        <w:tc>
          <w:tcPr>
            <w:tcW w:type="dxa" w:w="2102"/>
            <w:vAlign w:val="center"/>
            <w:tcMar>
              <w:top w:w="65" w:type="dxa"/>
              <w:start w:w="75" w:type="dxa"/>
              <w:bottom w:w="65" w:type="dxa"/>
              <w:end w:w="75" w:type="dxa"/>
            </w:tcMar>
          </w:tcPr>
          <w:p>
            <w:pPr>
              <w:spacing w:after="0" w:line="259" w:lineRule="auto"/>
            </w:pPr>
            <w:r>
              <w:rPr>
                <w:rFonts w:ascii="Lato" w:hAnsi="Lato"/>
                <w:color w:val="202D33"/>
                <w:sz w:val="15"/>
              </w:rPr>
              <w:t>AWS Lambda</w:t>
            </w:r>
          </w:p>
        </w:tc>
        <w:tc>
          <w:tcPr>
            <w:tcW w:type="dxa" w:w="1325"/>
            <w:vAlign w:val="center"/>
            <w:tcMar>
              <w:top w:w="65" w:type="dxa"/>
              <w:start w:w="75" w:type="dxa"/>
              <w:bottom w:w="65" w:type="dxa"/>
              <w:end w:w="75" w:type="dxa"/>
            </w:tcMar>
          </w:tcPr>
          <w:p>
            <w:pPr>
              <w:spacing w:after="0" w:line="259" w:lineRule="auto"/>
            </w:pPr>
            <w:r>
              <w:rPr>
                <w:rFonts w:ascii="Lato" w:hAnsi="Lato"/>
                <w:color w:val="202D33"/>
                <w:sz w:val="15"/>
              </w:rPr>
              <w:t>Optional</w:t>
            </w:r>
          </w:p>
        </w:tc>
        <w:tc>
          <w:tcPr>
            <w:tcW w:type="dxa" w:w="6394"/>
            <w:vAlign w:val="center"/>
            <w:tcMar>
              <w:top w:w="65" w:type="dxa"/>
              <w:start w:w="75" w:type="dxa"/>
              <w:bottom w:w="65" w:type="dxa"/>
              <w:end w:w="75" w:type="dxa"/>
            </w:tcMar>
          </w:tcPr>
          <w:p>
            <w:pPr>
              <w:spacing w:after="0" w:line="259" w:lineRule="auto"/>
            </w:pPr>
            <w:r>
              <w:rPr>
                <w:rFonts w:ascii="Lato" w:hAnsi="Lato"/>
                <w:color w:val="202D33"/>
                <w:sz w:val="15"/>
              </w:rPr>
              <w:t>Introduce only when server-side shared optimisation execution materially helps; avoid deployment work for a local solver.</w:t>
            </w:r>
          </w:p>
        </w:tc>
      </w:tr>
      <w:tr>
        <w:trPr>
          <w:cantSplit/>
        </w:trPr>
        <w:tc>
          <w:tcPr>
            <w:tcW w:type="dxa" w:w="2102"/>
            <w:vAlign w:val="center"/>
            <w:tcMar>
              <w:top w:w="65" w:type="dxa"/>
              <w:start w:w="75" w:type="dxa"/>
              <w:bottom w:w="65" w:type="dxa"/>
              <w:end w:w="75" w:type="dxa"/>
            </w:tcMar>
            <w:shd w:fill="F0F5F5"/>
          </w:tcPr>
          <w:p>
            <w:pPr>
              <w:spacing w:after="0" w:line="259" w:lineRule="auto"/>
            </w:pPr>
            <w:r>
              <w:rPr>
                <w:rFonts w:ascii="Lato" w:hAnsi="Lato"/>
                <w:color w:val="202D33"/>
                <w:sz w:val="15"/>
              </w:rPr>
              <w:t>Amazon Location Service</w:t>
            </w:r>
          </w:p>
        </w:tc>
        <w:tc>
          <w:tcPr>
            <w:tcW w:type="dxa" w:w="1325"/>
            <w:vAlign w:val="center"/>
            <w:tcMar>
              <w:top w:w="65" w:type="dxa"/>
              <w:start w:w="75" w:type="dxa"/>
              <w:bottom w:w="65" w:type="dxa"/>
              <w:end w:w="75" w:type="dxa"/>
            </w:tcMar>
            <w:shd w:fill="F0F5F5"/>
          </w:tcPr>
          <w:p>
            <w:pPr>
              <w:spacing w:after="0" w:line="259" w:lineRule="auto"/>
            </w:pPr>
            <w:r>
              <w:rPr>
                <w:rFonts w:ascii="Lato" w:hAnsi="Lato"/>
                <w:color w:val="202D33"/>
                <w:sz w:val="15"/>
              </w:rPr>
              <w:t>Optional</w:t>
            </w:r>
          </w:p>
        </w:tc>
        <w:tc>
          <w:tcPr>
            <w:tcW w:type="dxa" w:w="6394"/>
            <w:vAlign w:val="center"/>
            <w:tcMar>
              <w:top w:w="65" w:type="dxa"/>
              <w:start w:w="75" w:type="dxa"/>
              <w:bottom w:w="65" w:type="dxa"/>
              <w:end w:w="75" w:type="dxa"/>
            </w:tcMar>
            <w:shd w:fill="F0F5F5"/>
          </w:tcPr>
          <w:p>
            <w:pPr>
              <w:spacing w:after="0" w:line="259" w:lineRule="auto"/>
            </w:pPr>
            <w:r>
              <w:rPr>
                <w:rFonts w:ascii="Lato" w:hAnsi="Lato"/>
                <w:color w:val="202D33"/>
                <w:sz w:val="15"/>
              </w:rPr>
              <w:t>Basemaps/geocoding if licensing and implementation are straightforward; GeoJSON/Plotly already suffice.</w:t>
            </w:r>
          </w:p>
        </w:tc>
      </w:tr>
      <w:tr>
        <w:trPr>
          <w:cantSplit/>
        </w:trPr>
        <w:tc>
          <w:tcPr>
            <w:tcW w:type="dxa" w:w="2102"/>
            <w:vAlign w:val="center"/>
            <w:tcMar>
              <w:top w:w="65" w:type="dxa"/>
              <w:start w:w="75" w:type="dxa"/>
              <w:bottom w:w="65" w:type="dxa"/>
              <w:end w:w="75" w:type="dxa"/>
            </w:tcMar>
          </w:tcPr>
          <w:p>
            <w:pPr>
              <w:spacing w:after="0" w:line="259" w:lineRule="auto"/>
            </w:pPr>
            <w:r>
              <w:rPr>
                <w:rFonts w:ascii="Lato" w:hAnsi="Lato"/>
                <w:color w:val="202D33"/>
                <w:sz w:val="15"/>
              </w:rPr>
              <w:t>Glue / Athena</w:t>
            </w:r>
          </w:p>
        </w:tc>
        <w:tc>
          <w:tcPr>
            <w:tcW w:type="dxa" w:w="1325"/>
            <w:vAlign w:val="center"/>
            <w:tcMar>
              <w:top w:w="65" w:type="dxa"/>
              <w:start w:w="75" w:type="dxa"/>
              <w:bottom w:w="65" w:type="dxa"/>
              <w:end w:w="75" w:type="dxa"/>
            </w:tcMar>
          </w:tcPr>
          <w:p>
            <w:pPr>
              <w:spacing w:after="0" w:line="259" w:lineRule="auto"/>
            </w:pPr>
            <w:r>
              <w:rPr>
                <w:rFonts w:ascii="Lato" w:hAnsi="Lato"/>
                <w:color w:val="202D33"/>
                <w:sz w:val="15"/>
              </w:rPr>
              <w:t>Defer</w:t>
            </w:r>
          </w:p>
        </w:tc>
        <w:tc>
          <w:tcPr>
            <w:tcW w:type="dxa" w:w="6394"/>
            <w:vAlign w:val="center"/>
            <w:tcMar>
              <w:top w:w="65" w:type="dxa"/>
              <w:start w:w="75" w:type="dxa"/>
              <w:bottom w:w="65" w:type="dxa"/>
              <w:end w:w="75" w:type="dxa"/>
            </w:tcMar>
          </w:tcPr>
          <w:p>
            <w:pPr>
              <w:spacing w:after="0" w:line="259" w:lineRule="auto"/>
            </w:pPr>
            <w:r>
              <w:rPr>
                <w:rFonts w:ascii="Lato" w:hAnsi="Lato"/>
                <w:color w:val="202D33"/>
                <w:sz w:val="15"/>
              </w:rPr>
              <w:t>No need for crawlers or SQL-over-data-lake for a handful of prepared CSV/GeoJSON datasets.</w:t>
            </w:r>
          </w:p>
        </w:tc>
      </w:tr>
      <w:tr>
        <w:trPr>
          <w:cantSplit/>
        </w:trPr>
        <w:tc>
          <w:tcPr>
            <w:tcW w:type="dxa" w:w="2102"/>
            <w:vAlign w:val="center"/>
            <w:tcMar>
              <w:top w:w="65" w:type="dxa"/>
              <w:start w:w="75" w:type="dxa"/>
              <w:bottom w:w="65" w:type="dxa"/>
              <w:end w:w="75" w:type="dxa"/>
            </w:tcMar>
            <w:shd w:fill="F0F5F5"/>
          </w:tcPr>
          <w:p>
            <w:pPr>
              <w:spacing w:after="0" w:line="259" w:lineRule="auto"/>
            </w:pPr>
            <w:r>
              <w:rPr>
                <w:rFonts w:ascii="Lato" w:hAnsi="Lato"/>
                <w:color w:val="202D33"/>
                <w:sz w:val="15"/>
              </w:rPr>
              <w:t>SageMaker / AWS Batch</w:t>
            </w:r>
          </w:p>
        </w:tc>
        <w:tc>
          <w:tcPr>
            <w:tcW w:type="dxa" w:w="1325"/>
            <w:vAlign w:val="center"/>
            <w:tcMar>
              <w:top w:w="65" w:type="dxa"/>
              <w:start w:w="75" w:type="dxa"/>
              <w:bottom w:w="65" w:type="dxa"/>
              <w:end w:w="75" w:type="dxa"/>
            </w:tcMar>
            <w:shd w:fill="F0F5F5"/>
          </w:tcPr>
          <w:p>
            <w:pPr>
              <w:spacing w:after="0" w:line="259" w:lineRule="auto"/>
            </w:pPr>
            <w:r>
              <w:rPr>
                <w:rFonts w:ascii="Lato" w:hAnsi="Lato"/>
                <w:color w:val="202D33"/>
                <w:sz w:val="15"/>
              </w:rPr>
              <w:t>Defer</w:t>
            </w:r>
          </w:p>
        </w:tc>
        <w:tc>
          <w:tcPr>
            <w:tcW w:type="dxa" w:w="6394"/>
            <w:vAlign w:val="center"/>
            <w:tcMar>
              <w:top w:w="65" w:type="dxa"/>
              <w:start w:w="75" w:type="dxa"/>
              <w:bottom w:w="65" w:type="dxa"/>
              <w:end w:w="75" w:type="dxa"/>
            </w:tcMar>
            <w:shd w:fill="F0F5F5"/>
          </w:tcPr>
          <w:p>
            <w:pPr>
              <w:spacing w:after="0" w:line="259" w:lineRule="auto"/>
            </w:pPr>
            <w:r>
              <w:rPr>
                <w:rFonts w:ascii="Lato" w:hAnsi="Lato"/>
                <w:color w:val="202D33"/>
                <w:sz w:val="15"/>
              </w:rPr>
              <w:t>No large training task or high-volume batch solver in the 24-hour MVP.</w:t>
            </w:r>
          </w:p>
        </w:tc>
      </w:tr>
      <w:tr>
        <w:trPr>
          <w:cantSplit/>
        </w:trPr>
        <w:tc>
          <w:tcPr>
            <w:tcW w:type="dxa" w:w="2102"/>
            <w:vAlign w:val="center"/>
            <w:tcMar>
              <w:top w:w="65" w:type="dxa"/>
              <w:start w:w="75" w:type="dxa"/>
              <w:bottom w:w="65" w:type="dxa"/>
              <w:end w:w="75" w:type="dxa"/>
            </w:tcMar>
          </w:tcPr>
          <w:p>
            <w:pPr>
              <w:spacing w:after="0" w:line="259" w:lineRule="auto"/>
            </w:pPr>
            <w:r>
              <w:rPr>
                <w:rFonts w:ascii="Lato" w:hAnsi="Lato"/>
                <w:color w:val="202D33"/>
                <w:sz w:val="15"/>
              </w:rPr>
              <w:t>SimSpace Weaver / EventBridge</w:t>
            </w:r>
          </w:p>
        </w:tc>
        <w:tc>
          <w:tcPr>
            <w:tcW w:type="dxa" w:w="1325"/>
            <w:vAlign w:val="center"/>
            <w:tcMar>
              <w:top w:w="65" w:type="dxa"/>
              <w:start w:w="75" w:type="dxa"/>
              <w:bottom w:w="65" w:type="dxa"/>
              <w:end w:w="75" w:type="dxa"/>
            </w:tcMar>
          </w:tcPr>
          <w:p>
            <w:pPr>
              <w:spacing w:after="0" w:line="259" w:lineRule="auto"/>
            </w:pPr>
            <w:r>
              <w:rPr>
                <w:rFonts w:ascii="Lato" w:hAnsi="Lato"/>
                <w:color w:val="202D33"/>
                <w:sz w:val="15"/>
              </w:rPr>
              <w:t>Defer</w:t>
            </w:r>
          </w:p>
        </w:tc>
        <w:tc>
          <w:tcPr>
            <w:tcW w:type="dxa" w:w="6394"/>
            <w:vAlign w:val="center"/>
            <w:tcMar>
              <w:top w:w="65" w:type="dxa"/>
              <w:start w:w="75" w:type="dxa"/>
              <w:bottom w:w="65" w:type="dxa"/>
              <w:end w:w="75" w:type="dxa"/>
            </w:tcMar>
          </w:tcPr>
          <w:p>
            <w:pPr>
              <w:spacing w:after="0" w:line="259" w:lineRule="auto"/>
            </w:pPr>
            <w:r>
              <w:rPr>
                <w:rFonts w:ascii="Lato" w:hAnsi="Lato"/>
                <w:color w:val="202D33"/>
                <w:sz w:val="15"/>
              </w:rPr>
              <w:t>No distributed spatial simulation or scheduled climate-refresh need.</w:t>
            </w:r>
          </w:p>
        </w:tc>
      </w:tr>
      <w:tr>
        <w:trPr>
          <w:cantSplit/>
        </w:trPr>
        <w:tc>
          <w:tcPr>
            <w:tcW w:type="dxa" w:w="2102"/>
            <w:vAlign w:val="center"/>
            <w:tcMar>
              <w:top w:w="65" w:type="dxa"/>
              <w:start w:w="75" w:type="dxa"/>
              <w:bottom w:w="65" w:type="dxa"/>
              <w:end w:w="75" w:type="dxa"/>
            </w:tcMar>
            <w:shd w:fill="F0F5F5"/>
          </w:tcPr>
          <w:p>
            <w:pPr>
              <w:spacing w:after="0" w:line="259" w:lineRule="auto"/>
            </w:pPr>
            <w:r>
              <w:rPr>
                <w:rFonts w:ascii="Lato" w:hAnsi="Lato"/>
                <w:color w:val="202D33"/>
                <w:sz w:val="15"/>
              </w:rPr>
              <w:t>OpenSearch / QuickSight / Grafana</w:t>
            </w:r>
          </w:p>
        </w:tc>
        <w:tc>
          <w:tcPr>
            <w:tcW w:type="dxa" w:w="1325"/>
            <w:vAlign w:val="center"/>
            <w:tcMar>
              <w:top w:w="65" w:type="dxa"/>
              <w:start w:w="75" w:type="dxa"/>
              <w:bottom w:w="65" w:type="dxa"/>
              <w:end w:w="75" w:type="dxa"/>
            </w:tcMar>
            <w:shd w:fill="F0F5F5"/>
          </w:tcPr>
          <w:p>
            <w:pPr>
              <w:spacing w:after="0" w:line="259" w:lineRule="auto"/>
            </w:pPr>
            <w:r>
              <w:rPr>
                <w:rFonts w:ascii="Lato" w:hAnsi="Lato"/>
                <w:color w:val="202D33"/>
                <w:sz w:val="15"/>
              </w:rPr>
              <w:t>Defer</w:t>
            </w:r>
          </w:p>
        </w:tc>
        <w:tc>
          <w:tcPr>
            <w:tcW w:type="dxa" w:w="6394"/>
            <w:vAlign w:val="center"/>
            <w:tcMar>
              <w:top w:w="65" w:type="dxa"/>
              <w:start w:w="75" w:type="dxa"/>
              <w:bottom w:w="65" w:type="dxa"/>
              <w:end w:w="75" w:type="dxa"/>
            </w:tcMar>
            <w:shd w:fill="F0F5F5"/>
          </w:tcPr>
          <w:p>
            <w:pPr>
              <w:spacing w:after="0" w:line="259" w:lineRule="auto"/>
            </w:pPr>
            <w:r>
              <w:rPr>
                <w:rFonts w:ascii="Lato" w:hAnsi="Lato"/>
                <w:color w:val="202D33"/>
                <w:sz w:val="15"/>
              </w:rPr>
              <w:t>Compact local evidence register and application charts cover present needs.</w:t>
            </w:r>
          </w:p>
        </w:tc>
      </w:tr>
      <w:tr>
        <w:trPr>
          <w:cantSplit/>
        </w:trPr>
        <w:tc>
          <w:tcPr>
            <w:tcW w:type="dxa" w:w="2102"/>
            <w:vAlign w:val="center"/>
            <w:tcMar>
              <w:top w:w="65" w:type="dxa"/>
              <w:start w:w="75" w:type="dxa"/>
              <w:bottom w:w="65" w:type="dxa"/>
              <w:end w:w="75" w:type="dxa"/>
            </w:tcMar>
          </w:tcPr>
          <w:p>
            <w:pPr>
              <w:spacing w:after="0" w:line="259" w:lineRule="auto"/>
            </w:pPr>
            <w:r>
              <w:rPr>
                <w:rFonts w:ascii="Lato" w:hAnsi="Lato"/>
                <w:color w:val="202D33"/>
                <w:sz w:val="15"/>
              </w:rPr>
              <w:t>CKAN / EKS / PostGIS stack</w:t>
            </w:r>
          </w:p>
        </w:tc>
        <w:tc>
          <w:tcPr>
            <w:tcW w:type="dxa" w:w="1325"/>
            <w:vAlign w:val="center"/>
            <w:tcMar>
              <w:top w:w="65" w:type="dxa"/>
              <w:start w:w="75" w:type="dxa"/>
              <w:bottom w:w="65" w:type="dxa"/>
              <w:end w:w="75" w:type="dxa"/>
            </w:tcMar>
          </w:tcPr>
          <w:p>
            <w:pPr>
              <w:spacing w:after="0" w:line="259" w:lineRule="auto"/>
            </w:pPr>
            <w:r>
              <w:rPr>
                <w:rFonts w:ascii="Lato" w:hAnsi="Lato"/>
                <w:color w:val="202D33"/>
                <w:sz w:val="15"/>
              </w:rPr>
              <w:t>Do not build</w:t>
            </w:r>
          </w:p>
        </w:tc>
        <w:tc>
          <w:tcPr>
            <w:tcW w:type="dxa" w:w="6394"/>
            <w:vAlign w:val="center"/>
            <w:tcMar>
              <w:top w:w="65" w:type="dxa"/>
              <w:start w:w="75" w:type="dxa"/>
              <w:bottom w:w="65" w:type="dxa"/>
              <w:end w:w="75" w:type="dxa"/>
            </w:tcMar>
          </w:tcPr>
          <w:p>
            <w:pPr>
              <w:spacing w:after="0" w:line="259" w:lineRule="auto"/>
            </w:pPr>
            <w:r>
              <w:rPr>
                <w:rFonts w:ascii="Lato" w:hAnsi="Lato"/>
                <w:color w:val="202D33"/>
                <w:sz w:val="15"/>
              </w:rPr>
              <w:t>Heavy enterprise data catalogue; no direct benefit to the required four-intervention optimiser.</w:t>
            </w:r>
          </w:p>
        </w:tc>
      </w:tr>
      <w:tr>
        <w:trPr>
          <w:cantSplit/>
        </w:trPr>
        <w:tc>
          <w:tcPr>
            <w:tcW w:type="dxa" w:w="2102"/>
            <w:vAlign w:val="center"/>
            <w:tcMar>
              <w:top w:w="65" w:type="dxa"/>
              <w:start w:w="75" w:type="dxa"/>
              <w:bottom w:w="65" w:type="dxa"/>
              <w:end w:w="75" w:type="dxa"/>
            </w:tcMar>
            <w:shd w:fill="F0F5F5"/>
          </w:tcPr>
          <w:p>
            <w:pPr>
              <w:spacing w:after="0" w:line="259" w:lineRule="auto"/>
            </w:pPr>
            <w:r>
              <w:rPr>
                <w:rFonts w:ascii="Lato" w:hAnsi="Lato"/>
                <w:color w:val="202D33"/>
                <w:sz w:val="15"/>
              </w:rPr>
              <w:t>Codex Astra / GitHub</w:t>
            </w:r>
          </w:p>
        </w:tc>
        <w:tc>
          <w:tcPr>
            <w:tcW w:type="dxa" w:w="1325"/>
            <w:vAlign w:val="center"/>
            <w:tcMar>
              <w:top w:w="65" w:type="dxa"/>
              <w:start w:w="75" w:type="dxa"/>
              <w:bottom w:w="65" w:type="dxa"/>
              <w:end w:w="75" w:type="dxa"/>
            </w:tcMar>
            <w:shd w:fill="F0F5F5"/>
          </w:tcPr>
          <w:p>
            <w:pPr>
              <w:spacing w:after="0" w:line="259" w:lineRule="auto"/>
            </w:pPr>
            <w:r>
              <w:rPr>
                <w:rFonts w:ascii="Lato" w:hAnsi="Lato"/>
                <w:color w:val="202D33"/>
                <w:sz w:val="15"/>
              </w:rPr>
              <w:t>Use</w:t>
            </w:r>
          </w:p>
        </w:tc>
        <w:tc>
          <w:tcPr>
            <w:tcW w:type="dxa" w:w="6394"/>
            <w:vAlign w:val="center"/>
            <w:tcMar>
              <w:top w:w="65" w:type="dxa"/>
              <w:start w:w="75" w:type="dxa"/>
              <w:bottom w:w="65" w:type="dxa"/>
              <w:end w:w="75" w:type="dxa"/>
            </w:tcMar>
            <w:shd w:fill="F0F5F5"/>
          </w:tcPr>
          <w:p>
            <w:pPr>
              <w:spacing w:after="0" w:line="259" w:lineRule="auto"/>
            </w:pPr>
            <w:r>
              <w:rPr>
                <w:rFonts w:ascii="Lato" w:hAnsi="Lato"/>
                <w:color w:val="202D33"/>
                <w:sz w:val="15"/>
              </w:rPr>
              <w:t>Primary implementation agent, source control and repeatable test/debug workflow.</w:t>
            </w:r>
          </w:p>
        </w:tc>
      </w:tr>
    </w:tbl>
    <w:p>
      <w:pPr>
        <w:spacing w:after="40"/>
      </w:pPr>
    </w:p>
    <w:p>
      <w:pPr>
        <w:pStyle w:val="Heading2"/>
      </w:pPr>
      <w:r>
        <w:t>9.2 Hosting and fallback</w:t>
      </w:r>
    </w:p>
    <w:p>
      <w:r>
        <w:t>Use Streamlit on a dependable Python-capable host (Streamlit Community Cloud if available), with the same local application runnable directly. Consider AWS container hosting only if access and deployment experience already exist. Do not rely on App Runner as the default for an unverified new account. The project must remain demonstrable when optional AWS integrations are unavailable.</w:t>
      </w:r>
    </w:p>
    <w:p>
      <w:pPr>
        <w:pStyle w:val="Heading2"/>
      </w:pPr>
      <w:r>
        <w:t>9.3 Security / cloud hygiene</w:t>
      </w:r>
    </w:p>
    <w:p>
      <w:pPr>
        <w:pStyle w:val="ListBullet"/>
      </w:pPr>
      <w:r>
        <w:t>Use least-privilege IAM for S3 object read/write prefixes and Bedrock invocation. No browser-embedded credentials, committed secrets, public write access or personally identifying demo data.</w:t>
      </w:r>
    </w:p>
    <w:p>
      <w:pPr>
        <w:pStyle w:val="ListBullet"/>
      </w:pPr>
      <w:r>
        <w:t>Prefer short-lived development access, private buckets, environment-based secrets, explicit service region, cost monitoring and documented setup steps.</w:t>
      </w:r>
    </w:p>
    <w:p>
      <w:pPr>
        <w:pStyle w:val="ListBullet"/>
      </w:pPr>
      <w:r>
        <w:t>Log errors without exposing credentials; validate user inputs on the application side and never trust LLM text as executable results.</w:t>
      </w:r>
    </w:p>
    <w:p>
      <w:pPr>
        <w:pStyle w:val="Heading2"/>
      </w:pPr>
      <w:r>
        <w:t>9.4 Concrete AWS runbook: smallest valuable integrations</w:t>
      </w:r>
    </w:p>
    <w:p>
      <w:pPr>
        <w:pStyle w:val="ListNumber"/>
      </w:pPr>
      <w:r>
        <w:t>Prerequisites: confirm an accessible AWS account, permissions, Region, budgets, and whether a Bedrock model is available in that Region. Verify identity with “aws sts get-caller-identity”; do not record the resulting account ID in public repo artifacts.</w:t>
      </w:r>
    </w:p>
    <w:p>
      <w:pPr>
        <w:pStyle w:val="ListNumber"/>
      </w:pPr>
      <w:r>
        <w:t>Create one private S3 bucket (globally unique name chosen during deployment). Use prefixes input/raw/, input/curated/, provenance/, runs/, and exports/. Enable default encryption and block public access. Versioning is recommended if it does not delay core development.</w:t>
      </w:r>
    </w:p>
    <w:p>
      <w:pPr>
        <w:pStyle w:val="ListNumber"/>
      </w:pPr>
      <w:r>
        <w:t>Apply least-privilege access: s3:ListBucket on this bucket; s3:GetObject on curated/provenance; s3:PutObject on runs/exports. For Bedrock, allow bedrock:InvokeModel only for an approved model/resource in the selected Region, plus streaming access only if actually used.</w:t>
      </w:r>
    </w:p>
    <w:p>
      <w:pPr>
        <w:pStyle w:val="ListNumber"/>
      </w:pPr>
      <w:r>
        <w:t>Use boto3 Python adapters behind clear interfaces. Load a versioned snapshot with a local fallback and persist run JSON with an input hash. Never require S3 for mathematical calculations.</w:t>
      </w:r>
    </w:p>
    <w:p>
      <w:pPr>
        <w:pStyle w:val="ListNumber"/>
      </w:pPr>
      <w:r>
        <w:t>For Bedrock, validate permitted model access, quota and IAM. Send only a redacted, structured RunResult subset plus approved evidence text. Validate any numeric strings returned against the original result, rejecting contradictions. Cache deterministic explanation if the API fails.</w:t>
      </w:r>
    </w:p>
    <w:p>
      <w:pPr>
        <w:pStyle w:val="ListNumber"/>
      </w:pPr>
      <w:r>
        <w:t>Set AWS budget alerts before testing paid services. Stop unused hosted components after the event. Never introduce EKS, NAT, OpenSearch or large data services just to match a diagram.</w:t>
      </w:r>
    </w:p>
    <w:p>
      <w:pPr>
        <w:pStyle w:val="ListNumber"/>
      </w:pPr>
      <w:r>
        <w:t>Deploy Streamlit on a reliable Python-capable host if AWS hosting cannot be verified early; maintain a local offline demo. If cloud deployment is desired and expertise exists, consider a container-based AWS host, but do not block P0.</w:t>
      </w:r>
    </w:p>
    <w:p>
      <w:pPr>
        <w:pStyle w:val="Heading2"/>
      </w:pPr>
      <w:r>
        <w:t>9.5 Environment and security configuration</w:t>
      </w:r>
    </w:p>
    <w:p>
      <w:pPr>
        <w:pStyle w:val="CodeNote"/>
      </w:pPr>
      <w:r>
        <w:t>AWS_REGION=choose_region_after_access_check</w:t>
      </w:r>
    </w:p>
    <w:p>
      <w:pPr>
        <w:pStyle w:val="CodeNote"/>
      </w:pPr>
      <w:r>
        <w:t>S3_BUCKET=private_bucket_name</w:t>
      </w:r>
    </w:p>
    <w:p>
      <w:pPr>
        <w:pStyle w:val="CodeNote"/>
      </w:pPr>
      <w:r>
        <w:t>S3_CURATED_PREFIX=input/curated/</w:t>
      </w:r>
    </w:p>
    <w:p>
      <w:pPr>
        <w:pStyle w:val="CodeNote"/>
      </w:pPr>
      <w:r>
        <w:t>S3_RUNS_PREFIX=runs/</w:t>
      </w:r>
    </w:p>
    <w:p>
      <w:pPr>
        <w:pStyle w:val="CodeNote"/>
      </w:pPr>
      <w:r>
        <w:t>BEDROCK_MODEL_ID=approved_region_specific_model_id</w:t>
      </w:r>
    </w:p>
    <w:p>
      <w:pPr>
        <w:pStyle w:val="CodeNote"/>
      </w:pPr>
      <w:r>
        <w:t>C1V1C_OFFLINE_MODE=true_or_false</w:t>
      </w:r>
    </w:p>
    <w:p>
      <w:pPr>
        <w:pStyle w:val="CodeNote"/>
      </w:pPr>
      <w:r>
        <w:t>C1V1C_BASELINE_VERSION=baseline_v1</w:t>
      </w:r>
    </w:p>
    <w:p>
      <w:pPr>
        <w:pStyle w:val="CodeNote"/>
      </w:pPr>
      <w:r>
        <w:t>C1V1C_MODEL_VERSION=model_v1</w:t>
      </w:r>
    </w:p>
    <w:p>
      <w:r>
        <w:t>Use AWS SDK default credential providers for local/cloud execution. Secrets belong in environment secret managers/host secret settings; never store access keys in source control, browser JavaScript or the exported planning report. Keep an example env template without real secrets.</w:t>
      </w:r>
    </w:p>
    <w:p>
      <w:pPr>
        <w:pStyle w:val="Heading2"/>
      </w:pPr>
      <w:r>
        <w:t>9.6 Exact demonstration of AWS value</w:t>
      </w:r>
    </w:p>
    <w:tbl>
      <w:tblPr>
        <w:tblW w:type="auto" w:w="0"/>
        <w:jc w:val="center"/>
        <w:tblLayout w:type="fixed"/>
        <w:tblLook w:firstColumn="1" w:firstRow="1" w:lastColumn="0" w:lastRow="0" w:noHBand="0" w:noVBand="1" w:val="04A0"/>
      </w:tblPr>
      <w:tblGrid>
        <w:gridCol w:w="1512"/>
        <w:gridCol w:w="4853"/>
        <w:gridCol w:w="3456"/>
      </w:tblGrid>
      <w:tr>
        <w:trPr>
          <w:tblHeader w:val="true"/>
          <w:cantSplit/>
        </w:trPr>
        <w:tc>
          <w:tcPr>
            <w:tcW w:type="dxa" w:w="1512"/>
            <w:shd w:fill="143A49"/>
            <w:tcMar>
              <w:top w:w="85" w:type="dxa"/>
              <w:start w:w="85" w:type="dxa"/>
              <w:bottom w:w="85" w:type="dxa"/>
              <w:end w:w="85" w:type="dxa"/>
            </w:tcMar>
          </w:tcPr>
          <w:p>
            <w:pPr>
              <w:spacing w:after="0"/>
            </w:pPr>
            <w:r>
              <w:rPr>
                <w:rFonts w:ascii="Lato" w:hAnsi="Lato"/>
                <w:b/>
                <w:color w:val="FFFFFF"/>
                <w:sz w:val="15"/>
              </w:rPr>
              <w:t>AWS component</w:t>
            </w:r>
          </w:p>
        </w:tc>
        <w:tc>
          <w:tcPr>
            <w:tcW w:type="dxa" w:w="4853"/>
            <w:shd w:fill="143A49"/>
            <w:tcMar>
              <w:top w:w="85" w:type="dxa"/>
              <w:start w:w="85" w:type="dxa"/>
              <w:bottom w:w="85" w:type="dxa"/>
              <w:end w:w="85" w:type="dxa"/>
            </w:tcMar>
          </w:tcPr>
          <w:p>
            <w:pPr>
              <w:spacing w:after="0"/>
            </w:pPr>
            <w:r>
              <w:rPr>
                <w:rFonts w:ascii="Lato" w:hAnsi="Lato"/>
                <w:b/>
                <w:color w:val="FFFFFF"/>
                <w:sz w:val="15"/>
              </w:rPr>
              <w:t>Live verification</w:t>
            </w:r>
          </w:p>
        </w:tc>
        <w:tc>
          <w:tcPr>
            <w:tcW w:type="dxa" w:w="3456"/>
            <w:shd w:fill="143A49"/>
            <w:tcMar>
              <w:top w:w="85" w:type="dxa"/>
              <w:start w:w="85" w:type="dxa"/>
              <w:bottom w:w="85" w:type="dxa"/>
              <w:end w:w="85" w:type="dxa"/>
            </w:tcMar>
          </w:tcPr>
          <w:p>
            <w:pPr>
              <w:spacing w:after="0"/>
            </w:pPr>
            <w:r>
              <w:rPr>
                <w:rFonts w:ascii="Lato" w:hAnsi="Lato"/>
                <w:b/>
                <w:color w:val="FFFFFF"/>
                <w:sz w:val="15"/>
              </w:rPr>
              <w:t>Fallback if blocked</w:t>
            </w:r>
          </w:p>
        </w:tc>
      </w:tr>
      <w:tr>
        <w:trPr>
          <w:cantSplit/>
        </w:trPr>
        <w:tc>
          <w:tcPr>
            <w:tcW w:type="dxa" w:w="1512"/>
            <w:vAlign w:val="center"/>
            <w:tcMar>
              <w:top w:w="65" w:type="dxa"/>
              <w:start w:w="75" w:type="dxa"/>
              <w:bottom w:w="65" w:type="dxa"/>
              <w:end w:w="75" w:type="dxa"/>
            </w:tcMar>
          </w:tcPr>
          <w:p>
            <w:pPr>
              <w:spacing w:after="0" w:line="259" w:lineRule="auto"/>
            </w:pPr>
            <w:r>
              <w:rPr>
                <w:rFonts w:ascii="Lato" w:hAnsi="Lato"/>
                <w:color w:val="202D33"/>
                <w:sz w:val="15"/>
              </w:rPr>
              <w:t>S3</w:t>
            </w:r>
          </w:p>
        </w:tc>
        <w:tc>
          <w:tcPr>
            <w:tcW w:type="dxa" w:w="4853"/>
            <w:vAlign w:val="center"/>
            <w:tcMar>
              <w:top w:w="65" w:type="dxa"/>
              <w:start w:w="75" w:type="dxa"/>
              <w:bottom w:w="65" w:type="dxa"/>
              <w:end w:w="75" w:type="dxa"/>
            </w:tcMar>
          </w:tcPr>
          <w:p>
            <w:pPr>
              <w:spacing w:after="0" w:line="259" w:lineRule="auto"/>
            </w:pPr>
            <w:r>
              <w:rPr>
                <w:rFonts w:ascii="Lato" w:hAnsi="Lato"/>
                <w:color w:val="202D33"/>
                <w:sz w:val="15"/>
              </w:rPr>
              <w:t>Show one curated baseline object loaded, its version/key and a saved JSON run under runs/.</w:t>
            </w:r>
          </w:p>
        </w:tc>
        <w:tc>
          <w:tcPr>
            <w:tcW w:type="dxa" w:w="3456"/>
            <w:vAlign w:val="center"/>
            <w:tcMar>
              <w:top w:w="65" w:type="dxa"/>
              <w:start w:w="75" w:type="dxa"/>
              <w:bottom w:w="65" w:type="dxa"/>
              <w:end w:w="75" w:type="dxa"/>
            </w:tcMar>
          </w:tcPr>
          <w:p>
            <w:pPr>
              <w:spacing w:after="0" w:line="259" w:lineRule="auto"/>
            </w:pPr>
            <w:r>
              <w:rPr>
                <w:rFonts w:ascii="Lato" w:hAnsi="Lato"/>
                <w:color w:val="202D33"/>
                <w:sz w:val="15"/>
              </w:rPr>
              <w:t>Local identical baseline JSON and local immutable runs/ folder.</w:t>
            </w:r>
          </w:p>
        </w:tc>
      </w:tr>
      <w:tr>
        <w:trPr>
          <w:cantSplit/>
        </w:trPr>
        <w:tc>
          <w:tcPr>
            <w:tcW w:type="dxa" w:w="1512"/>
            <w:vAlign w:val="center"/>
            <w:tcMar>
              <w:top w:w="65" w:type="dxa"/>
              <w:start w:w="75" w:type="dxa"/>
              <w:bottom w:w="65" w:type="dxa"/>
              <w:end w:w="75" w:type="dxa"/>
            </w:tcMar>
            <w:shd w:fill="F0F5F5"/>
          </w:tcPr>
          <w:p>
            <w:pPr>
              <w:spacing w:after="0" w:line="259" w:lineRule="auto"/>
            </w:pPr>
            <w:r>
              <w:rPr>
                <w:rFonts w:ascii="Lato" w:hAnsi="Lato"/>
                <w:color w:val="202D33"/>
                <w:sz w:val="15"/>
              </w:rPr>
              <w:t>Bedrock</w:t>
            </w:r>
          </w:p>
        </w:tc>
        <w:tc>
          <w:tcPr>
            <w:tcW w:type="dxa" w:w="4853"/>
            <w:vAlign w:val="center"/>
            <w:tcMar>
              <w:top w:w="65" w:type="dxa"/>
              <w:start w:w="75" w:type="dxa"/>
              <w:bottom w:w="65" w:type="dxa"/>
              <w:end w:w="75" w:type="dxa"/>
            </w:tcMar>
            <w:shd w:fill="F0F5F5"/>
          </w:tcPr>
          <w:p>
            <w:pPr>
              <w:spacing w:after="0" w:line="259" w:lineRule="auto"/>
            </w:pPr>
            <w:r>
              <w:rPr>
                <w:rFonts w:ascii="Lato" w:hAnsi="Lato"/>
                <w:color w:val="202D33"/>
                <w:sz w:val="15"/>
              </w:rPr>
              <w:t>Ask a judge a “why this allocation?” question; explanation quotes current solver figures and citation IDs.</w:t>
            </w:r>
          </w:p>
        </w:tc>
        <w:tc>
          <w:tcPr>
            <w:tcW w:type="dxa" w:w="3456"/>
            <w:vAlign w:val="center"/>
            <w:tcMar>
              <w:top w:w="65" w:type="dxa"/>
              <w:start w:w="75" w:type="dxa"/>
              <w:bottom w:w="65" w:type="dxa"/>
              <w:end w:w="75" w:type="dxa"/>
            </w:tcMar>
            <w:shd w:fill="F0F5F5"/>
          </w:tcPr>
          <w:p>
            <w:pPr>
              <w:spacing w:after="0" w:line="259" w:lineRule="auto"/>
            </w:pPr>
            <w:r>
              <w:rPr>
                <w:rFonts w:ascii="Lato" w:hAnsi="Lato"/>
                <w:color w:val="202D33"/>
                <w:sz w:val="15"/>
              </w:rPr>
              <w:t>Deterministic text from recorded score components and constraints.</w:t>
            </w:r>
          </w:p>
        </w:tc>
      </w:tr>
      <w:tr>
        <w:trPr>
          <w:cantSplit/>
        </w:trPr>
        <w:tc>
          <w:tcPr>
            <w:tcW w:type="dxa" w:w="1512"/>
            <w:vAlign w:val="center"/>
            <w:tcMar>
              <w:top w:w="65" w:type="dxa"/>
              <w:start w:w="75" w:type="dxa"/>
              <w:bottom w:w="65" w:type="dxa"/>
              <w:end w:w="75" w:type="dxa"/>
            </w:tcMar>
          </w:tcPr>
          <w:p>
            <w:pPr>
              <w:spacing w:after="0" w:line="259" w:lineRule="auto"/>
            </w:pPr>
            <w:r>
              <w:rPr>
                <w:rFonts w:ascii="Lato" w:hAnsi="Lato"/>
                <w:color w:val="202D33"/>
                <w:sz w:val="15"/>
              </w:rPr>
              <w:t>Cloud hosting</w:t>
            </w:r>
          </w:p>
        </w:tc>
        <w:tc>
          <w:tcPr>
            <w:tcW w:type="dxa" w:w="4853"/>
            <w:vAlign w:val="center"/>
            <w:tcMar>
              <w:top w:w="65" w:type="dxa"/>
              <w:start w:w="75" w:type="dxa"/>
              <w:bottom w:w="65" w:type="dxa"/>
              <w:end w:w="75" w:type="dxa"/>
            </w:tcMar>
          </w:tcPr>
          <w:p>
            <w:pPr>
              <w:spacing w:after="0" w:line="259" w:lineRule="auto"/>
            </w:pPr>
            <w:r>
              <w:rPr>
                <w:rFonts w:ascii="Lato" w:hAnsi="Lato"/>
                <w:color w:val="202D33"/>
                <w:sz w:val="15"/>
              </w:rPr>
              <w:t>Published app opens from submitted URL; no embedded AWS key.</w:t>
            </w:r>
          </w:p>
        </w:tc>
        <w:tc>
          <w:tcPr>
            <w:tcW w:type="dxa" w:w="3456"/>
            <w:vAlign w:val="center"/>
            <w:tcMar>
              <w:top w:w="65" w:type="dxa"/>
              <w:start w:w="75" w:type="dxa"/>
              <w:bottom w:w="65" w:type="dxa"/>
              <w:end w:w="75" w:type="dxa"/>
            </w:tcMar>
          </w:tcPr>
          <w:p>
            <w:pPr>
              <w:spacing w:after="0" w:line="259" w:lineRule="auto"/>
            </w:pPr>
            <w:r>
              <w:rPr>
                <w:rFonts w:ascii="Lato" w:hAnsi="Lato"/>
                <w:color w:val="202D33"/>
                <w:sz w:val="15"/>
              </w:rPr>
              <w:t>Local app launch and a frozen recorded end-to-end demo.</w:t>
            </w:r>
          </w:p>
        </w:tc>
      </w:tr>
    </w:tbl>
    <w:p>
      <w:pPr>
        <w:spacing w:after="40"/>
      </w:pPr>
    </w:p>
    <w:p>
      <w:pPr>
        <w:pStyle w:val="Heading1"/>
      </w:pPr>
      <w:r>
        <w:t>10. Repository architecture and Codex workflow</w:t>
      </w:r>
    </w:p>
    <w:p>
      <w:pPr>
        <w:pStyle w:val="Heading2"/>
      </w:pPr>
      <w:r>
        <w:t>10.1 Repository structure</w:t>
      </w:r>
    </w:p>
    <w:p>
      <w:pPr>
        <w:pStyle w:val="CodeNote"/>
      </w:pPr>
      <w:r>
        <w:t>c1v1c-tulabhara-ai/</w:t>
      </w:r>
    </w:p>
    <w:p>
      <w:pPr>
        <w:pStyle w:val="CodeNote"/>
      </w:pPr>
      <w:r>
        <w:t xml:space="preserve">  app.py                    # Streamlit entry point</w:t>
      </w:r>
    </w:p>
    <w:p>
      <w:pPr>
        <w:pStyle w:val="CodeNote"/>
      </w:pPr>
      <w:r>
        <w:t xml:space="preserve">  requirements.txt          # pinned core dependencies</w:t>
      </w:r>
    </w:p>
    <w:p>
      <w:pPr>
        <w:pStyle w:val="CodeNote"/>
      </w:pPr>
      <w:r>
        <w:t xml:space="preserve">  AGENTS.md                 # engineering rules for Codex</w:t>
      </w:r>
    </w:p>
    <w:p>
      <w:pPr>
        <w:pStyle w:val="CodeNote"/>
      </w:pPr>
      <w:r>
        <w:t xml:space="preserve">  docs/                     # PS, plan, model assumptions, source register</w:t>
      </w:r>
    </w:p>
    <w:p>
      <w:pPr>
        <w:pStyle w:val="CodeNote"/>
      </w:pPr>
      <w:r>
        <w:t xml:space="preserve">  data/                     # pilot zone, site, intervention, source datasets</w:t>
      </w:r>
    </w:p>
    <w:p>
      <w:pPr>
        <w:pStyle w:val="CodeNote"/>
      </w:pPr>
      <w:r>
        <w:t xml:space="preserve">  engine/</w:t>
      </w:r>
    </w:p>
    <w:p>
      <w:pPr>
        <w:pStyle w:val="CodeNote"/>
      </w:pPr>
      <w:r>
        <w:t xml:space="preserve">    schemas.py              # Pydantic objects and validation</w:t>
      </w:r>
    </w:p>
    <w:p>
      <w:pPr>
        <w:pStyle w:val="CodeNote"/>
      </w:pPr>
      <w:r>
        <w:t xml:space="preserve">    baseline.py             # data and risk normalization</w:t>
      </w:r>
    </w:p>
    <w:p>
      <w:pPr>
        <w:pStyle w:val="CodeNote"/>
      </w:pPr>
      <w:r>
        <w:t xml:space="preserve">    physical_models.py      # runoff, water, heat, carbon, economics</w:t>
      </w:r>
    </w:p>
    <w:p>
      <w:pPr>
        <w:pStyle w:val="CodeNote"/>
      </w:pPr>
      <w:r>
        <w:t xml:space="preserve">    suitability.py          # eligible sites and interaction constraints</w:t>
      </w:r>
    </w:p>
    <w:p>
      <w:pPr>
        <w:pStyle w:val="CodeNote"/>
      </w:pPr>
      <w:r>
        <w:t xml:space="preserve">    optimiser.py            # MILP, score breakdown, alternatives</w:t>
      </w:r>
    </w:p>
    <w:p>
      <w:pPr>
        <w:pStyle w:val="CodeNote"/>
      </w:pPr>
      <w:r>
        <w:t xml:space="preserve">    scenarios.py            # shocks and old/new-plan evaluation</w:t>
      </w:r>
    </w:p>
    <w:p>
      <w:pPr>
        <w:pStyle w:val="CodeNote"/>
      </w:pPr>
      <w:r>
        <w:t xml:space="preserve">    equity.py               # population benefit and safeguards</w:t>
      </w:r>
    </w:p>
    <w:p>
      <w:pPr>
        <w:pStyle w:val="CodeNote"/>
      </w:pPr>
      <w:r>
        <w:t xml:space="preserve">    explanations.py         # deterministic reasons and evidence</w:t>
      </w:r>
    </w:p>
    <w:p>
      <w:pPr>
        <w:pStyle w:val="CodeNote"/>
      </w:pPr>
      <w:r>
        <w:t xml:space="preserve">    run_store.py            # immutable local/S3 snapshots</w:t>
      </w:r>
    </w:p>
    <w:p>
      <w:pPr>
        <w:pStyle w:val="CodeNote"/>
      </w:pPr>
      <w:r>
        <w:t xml:space="preserve">  services/</w:t>
      </w:r>
    </w:p>
    <w:p>
      <w:pPr>
        <w:pStyle w:val="CodeNote"/>
      </w:pPr>
      <w:r>
        <w:t xml:space="preserve">    s3_adapter.py           # optional AWS data/results</w:t>
      </w:r>
    </w:p>
    <w:p>
      <w:pPr>
        <w:pStyle w:val="CodeNote"/>
      </w:pPr>
      <w:r>
        <w:t xml:space="preserve">    bedrock_adapter.py      # optional grounded narration</w:t>
      </w:r>
    </w:p>
    <w:p>
      <w:pPr>
        <w:pStyle w:val="CodeNote"/>
      </w:pPr>
      <w:r>
        <w:t xml:space="preserve">  pages/                    # four Streamlit tabs</w:t>
      </w:r>
    </w:p>
    <w:p>
      <w:pPr>
        <w:pStyle w:val="CodeNote"/>
      </w:pPr>
      <w:r>
        <w:t xml:space="preserve">  tests/                    # unit, solver, scenario, app smoke tests</w:t>
      </w:r>
    </w:p>
    <w:p>
      <w:pPr>
        <w:pStyle w:val="CodeNote"/>
      </w:pPr>
      <w:r>
        <w:t xml:space="preserve">  demo/                     # frozen input, scripts, screenshots and backup video</w:t>
      </w:r>
    </w:p>
    <w:p>
      <w:pPr>
        <w:pStyle w:val="Heading2"/>
      </w:pPr>
      <w:r>
        <w:t>10.2 Agent operating rules (put in AGENTS.md)</w:t>
      </w:r>
    </w:p>
    <w:p>
      <w:pPr>
        <w:pStyle w:val="ListBullet"/>
      </w:pPr>
      <w:r>
        <w:t>Read the original Sustainable Development PS and this plan before coding. All five modules and four interventions are mandatory.</w:t>
      </w:r>
    </w:p>
    <w:p>
      <w:pPr>
        <w:pStyle w:val="ListBullet"/>
      </w:pPr>
      <w:r>
        <w:t>Build the smallest end-to-end vertical slice before parallel feature expansion; integrate behind shared Pydantic schemas.</w:t>
      </w:r>
    </w:p>
    <w:p>
      <w:pPr>
        <w:pStyle w:val="ListBullet"/>
      </w:pPr>
      <w:r>
        <w:t>Never fabricate environmental measurements, output numbers, citations, solver success or AWS integration status.</w:t>
      </w:r>
    </w:p>
    <w:p>
      <w:pPr>
        <w:pStyle w:val="ListBullet"/>
      </w:pPr>
      <w:r>
        <w:t>Use explicit units, applicability notes, assumptions and source IDs for every model parameter.</w:t>
      </w:r>
    </w:p>
    <w:p>
      <w:pPr>
        <w:pStyle w:val="ListBullet"/>
      </w:pPr>
      <w:r>
        <w:t>Keep deterministic calculations separate from Bedrock narratives. Make optional cloud dependencies fail safely.</w:t>
      </w:r>
    </w:p>
    <w:p>
      <w:pPr>
        <w:pStyle w:val="ListBullet"/>
      </w:pPr>
      <w:r>
        <w:t>Write tests concurrently with the engine; report a blocked or incomplete requirement openly.</w:t>
      </w:r>
    </w:p>
    <w:p>
      <w:pPr>
        <w:pStyle w:val="Heading2"/>
      </w:pPr>
      <w:r>
        <w:t>10.3 Task boundaries</w:t>
      </w:r>
    </w:p>
    <w:p>
      <w:r>
        <w:t>Issue separate Codex tasks for (a) schemas and data loader, (b) physical evaluators, (c) MILP solver/equity, (d) scenarios and run store, and (e) Streamlit/AWS integration. Merge only after each component passes its contract tests. No agent may change shared schema fields without notifying all module owners.</w:t>
      </w:r>
    </w:p>
    <w:p>
      <w:pPr>
        <w:pStyle w:val="Heading1"/>
      </w:pPr>
      <w:r>
        <w:t>11. Team roles and integration cadence</w:t>
      </w:r>
    </w:p>
    <w:tbl>
      <w:tblPr>
        <w:tblW w:type="auto" w:w="0"/>
        <w:jc w:val="center"/>
        <w:tblLayout w:type="fixed"/>
        <w:tblLook w:firstColumn="1" w:firstRow="1" w:lastColumn="0" w:lastRow="0" w:noHBand="0" w:noVBand="1" w:val="04A0"/>
      </w:tblPr>
      <w:tblGrid>
        <w:gridCol w:w="2002"/>
        <w:gridCol w:w="4320"/>
        <w:gridCol w:w="3499"/>
      </w:tblGrid>
      <w:tr>
        <w:trPr>
          <w:tblHeader w:val="true"/>
          <w:cantSplit/>
        </w:trPr>
        <w:tc>
          <w:tcPr>
            <w:tcW w:type="dxa" w:w="2002"/>
            <w:shd w:fill="143A49"/>
            <w:tcMar>
              <w:top w:w="85" w:type="dxa"/>
              <w:start w:w="85" w:type="dxa"/>
              <w:bottom w:w="85" w:type="dxa"/>
              <w:end w:w="85" w:type="dxa"/>
            </w:tcMar>
          </w:tcPr>
          <w:p>
            <w:pPr>
              <w:spacing w:after="0"/>
            </w:pPr>
            <w:r>
              <w:rPr>
                <w:rFonts w:ascii="Lato" w:hAnsi="Lato"/>
                <w:b/>
                <w:color w:val="FFFFFF"/>
                <w:sz w:val="15"/>
              </w:rPr>
              <w:t>Owner</w:t>
            </w:r>
          </w:p>
        </w:tc>
        <w:tc>
          <w:tcPr>
            <w:tcW w:type="dxa" w:w="4320"/>
            <w:shd w:fill="143A49"/>
            <w:tcMar>
              <w:top w:w="85" w:type="dxa"/>
              <w:start w:w="85" w:type="dxa"/>
              <w:bottom w:w="85" w:type="dxa"/>
              <w:end w:w="85" w:type="dxa"/>
            </w:tcMar>
          </w:tcPr>
          <w:p>
            <w:pPr>
              <w:spacing w:after="0"/>
            </w:pPr>
            <w:r>
              <w:rPr>
                <w:rFonts w:ascii="Lato" w:hAnsi="Lato"/>
                <w:b/>
                <w:color w:val="FFFFFF"/>
                <w:sz w:val="15"/>
              </w:rPr>
              <w:t>Primary responsibilities</w:t>
            </w:r>
          </w:p>
        </w:tc>
        <w:tc>
          <w:tcPr>
            <w:tcW w:type="dxa" w:w="3499"/>
            <w:shd w:fill="143A49"/>
            <w:tcMar>
              <w:top w:w="85" w:type="dxa"/>
              <w:start w:w="85" w:type="dxa"/>
              <w:bottom w:w="85" w:type="dxa"/>
              <w:end w:w="85" w:type="dxa"/>
            </w:tcMar>
          </w:tcPr>
          <w:p>
            <w:pPr>
              <w:spacing w:after="0"/>
            </w:pPr>
            <w:r>
              <w:rPr>
                <w:rFonts w:ascii="Lato" w:hAnsi="Lato"/>
                <w:b/>
                <w:color w:val="FFFFFF"/>
                <w:sz w:val="15"/>
              </w:rPr>
              <w:t>Handoffs / tests</w:t>
            </w:r>
          </w:p>
        </w:tc>
      </w:tr>
      <w:tr>
        <w:trPr>
          <w:cantSplit/>
        </w:trPr>
        <w:tc>
          <w:tcPr>
            <w:tcW w:type="dxa" w:w="2002"/>
            <w:vAlign w:val="center"/>
            <w:tcMar>
              <w:top w:w="65" w:type="dxa"/>
              <w:start w:w="75" w:type="dxa"/>
              <w:bottom w:w="65" w:type="dxa"/>
              <w:end w:w="75" w:type="dxa"/>
            </w:tcMar>
          </w:tcPr>
          <w:p>
            <w:pPr>
              <w:spacing w:after="0" w:line="259" w:lineRule="auto"/>
            </w:pPr>
            <w:r>
              <w:rPr>
                <w:rFonts w:ascii="Lato" w:hAnsi="Lato"/>
                <w:color w:val="202D33"/>
                <w:sz w:val="15"/>
              </w:rPr>
              <w:t>Anish — Product &amp; Integration Lead</w:t>
            </w:r>
          </w:p>
        </w:tc>
        <w:tc>
          <w:tcPr>
            <w:tcW w:type="dxa" w:w="4320"/>
            <w:vAlign w:val="center"/>
            <w:tcMar>
              <w:top w:w="65" w:type="dxa"/>
              <w:start w:w="75" w:type="dxa"/>
              <w:bottom w:w="65" w:type="dxa"/>
              <w:end w:w="75" w:type="dxa"/>
            </w:tcMar>
          </w:tcPr>
          <w:p>
            <w:pPr>
              <w:spacing w:after="0" w:line="259" w:lineRule="auto"/>
            </w:pPr>
            <w:r>
              <w:rPr>
                <w:rFonts w:ascii="Lato" w:hAnsi="Lato"/>
                <w:color w:val="202D33"/>
                <w:sz w:val="15"/>
              </w:rPr>
              <w:t>PS compliance, architecture, data contracts, merge decisions, mentor questions, risk register, end-to-end testing and pitch.</w:t>
            </w:r>
          </w:p>
        </w:tc>
        <w:tc>
          <w:tcPr>
            <w:tcW w:type="dxa" w:w="3499"/>
            <w:vAlign w:val="center"/>
            <w:tcMar>
              <w:top w:w="65" w:type="dxa"/>
              <w:start w:w="75" w:type="dxa"/>
              <w:bottom w:w="65" w:type="dxa"/>
              <w:end w:w="75" w:type="dxa"/>
            </w:tcMar>
          </w:tcPr>
          <w:p>
            <w:pPr>
              <w:spacing w:after="0" w:line="259" w:lineRule="auto"/>
            </w:pPr>
            <w:r>
              <w:rPr>
                <w:rFonts w:ascii="Lato" w:hAnsi="Lato"/>
                <w:color w:val="202D33"/>
                <w:sz w:val="15"/>
              </w:rPr>
              <w:t>Approve schema, preserve five-module checklist, integration and final demo.</w:t>
            </w:r>
          </w:p>
        </w:tc>
      </w:tr>
      <w:tr>
        <w:trPr>
          <w:cantSplit/>
        </w:trPr>
        <w:tc>
          <w:tcPr>
            <w:tcW w:type="dxa" w:w="2002"/>
            <w:vAlign w:val="center"/>
            <w:tcMar>
              <w:top w:w="65" w:type="dxa"/>
              <w:start w:w="75" w:type="dxa"/>
              <w:bottom w:w="65" w:type="dxa"/>
              <w:end w:w="75" w:type="dxa"/>
            </w:tcMar>
            <w:shd w:fill="F0F5F5"/>
          </w:tcPr>
          <w:p>
            <w:pPr>
              <w:spacing w:after="0" w:line="259" w:lineRule="auto"/>
            </w:pPr>
            <w:r>
              <w:rPr>
                <w:rFonts w:ascii="Lato" w:hAnsi="Lato"/>
                <w:color w:val="202D33"/>
                <w:sz w:val="15"/>
              </w:rPr>
              <w:t>Member 2 — Optimisation</w:t>
            </w:r>
          </w:p>
        </w:tc>
        <w:tc>
          <w:tcPr>
            <w:tcW w:type="dxa" w:w="4320"/>
            <w:vAlign w:val="center"/>
            <w:tcMar>
              <w:top w:w="65" w:type="dxa"/>
              <w:start w:w="75" w:type="dxa"/>
              <w:bottom w:w="65" w:type="dxa"/>
              <w:end w:w="75" w:type="dxa"/>
            </w:tcMar>
            <w:shd w:fill="F0F5F5"/>
          </w:tcPr>
          <w:p>
            <w:pPr>
              <w:spacing w:after="0" w:line="259" w:lineRule="auto"/>
            </w:pPr>
            <w:r>
              <w:rPr>
                <w:rFonts w:ascii="Lato" w:hAnsi="Lato"/>
                <w:color w:val="202D33"/>
                <w:sz w:val="15"/>
              </w:rPr>
              <w:t>MILP model, normalisation, constraints, fairness, Pareto shortlist, infeasibility handling.</w:t>
            </w:r>
          </w:p>
        </w:tc>
        <w:tc>
          <w:tcPr>
            <w:tcW w:type="dxa" w:w="3499"/>
            <w:vAlign w:val="center"/>
            <w:tcMar>
              <w:top w:w="65" w:type="dxa"/>
              <w:start w:w="75" w:type="dxa"/>
              <w:bottom w:w="65" w:type="dxa"/>
              <w:end w:w="75" w:type="dxa"/>
            </w:tcMar>
            <w:shd w:fill="F0F5F5"/>
          </w:tcPr>
          <w:p>
            <w:pPr>
              <w:spacing w:after="0" w:line="259" w:lineRule="auto"/>
            </w:pPr>
            <w:r>
              <w:rPr>
                <w:rFonts w:ascii="Lato" w:hAnsi="Lato"/>
                <w:color w:val="202D33"/>
                <w:sz w:val="15"/>
              </w:rPr>
              <w:t>optimiser.py + solver/constraint tests.</w:t>
            </w:r>
          </w:p>
        </w:tc>
      </w:tr>
      <w:tr>
        <w:trPr>
          <w:cantSplit/>
        </w:trPr>
        <w:tc>
          <w:tcPr>
            <w:tcW w:type="dxa" w:w="2002"/>
            <w:vAlign w:val="center"/>
            <w:tcMar>
              <w:top w:w="65" w:type="dxa"/>
              <w:start w:w="75" w:type="dxa"/>
              <w:bottom w:w="65" w:type="dxa"/>
              <w:end w:w="75" w:type="dxa"/>
            </w:tcMar>
          </w:tcPr>
          <w:p>
            <w:pPr>
              <w:spacing w:after="0" w:line="259" w:lineRule="auto"/>
            </w:pPr>
            <w:r>
              <w:rPr>
                <w:rFonts w:ascii="Lato" w:hAnsi="Lato"/>
                <w:color w:val="202D33"/>
                <w:sz w:val="15"/>
              </w:rPr>
              <w:t>Member 3 — Environmental &amp; Data</w:t>
            </w:r>
          </w:p>
        </w:tc>
        <w:tc>
          <w:tcPr>
            <w:tcW w:type="dxa" w:w="4320"/>
            <w:vAlign w:val="center"/>
            <w:tcMar>
              <w:top w:w="65" w:type="dxa"/>
              <w:start w:w="75" w:type="dxa"/>
              <w:bottom w:w="65" w:type="dxa"/>
              <w:end w:w="75" w:type="dxa"/>
            </w:tcMar>
          </w:tcPr>
          <w:p>
            <w:pPr>
              <w:spacing w:after="0" w:line="259" w:lineRule="auto"/>
            </w:pPr>
            <w:r>
              <w:rPr>
                <w:rFonts w:ascii="Lato" w:hAnsi="Lato"/>
                <w:color w:val="202D33"/>
                <w:sz w:val="15"/>
              </w:rPr>
              <w:t>Study-area input sourcing, runoff/water/heat/carbon models, economics, site suitability, provenance.</w:t>
            </w:r>
          </w:p>
        </w:tc>
        <w:tc>
          <w:tcPr>
            <w:tcW w:type="dxa" w:w="3499"/>
            <w:vAlign w:val="center"/>
            <w:tcMar>
              <w:top w:w="65" w:type="dxa"/>
              <w:start w:w="75" w:type="dxa"/>
              <w:bottom w:w="65" w:type="dxa"/>
              <w:end w:w="75" w:type="dxa"/>
            </w:tcMar>
          </w:tcPr>
          <w:p>
            <w:pPr>
              <w:spacing w:after="0" w:line="259" w:lineRule="auto"/>
            </w:pPr>
            <w:r>
              <w:rPr>
                <w:rFonts w:ascii="Lato" w:hAnsi="Lato"/>
                <w:color w:val="202D33"/>
                <w:sz w:val="15"/>
              </w:rPr>
              <w:t>Physical parameter matrix + model tests.</w:t>
            </w:r>
          </w:p>
        </w:tc>
      </w:tr>
      <w:tr>
        <w:trPr>
          <w:cantSplit/>
        </w:trPr>
        <w:tc>
          <w:tcPr>
            <w:tcW w:type="dxa" w:w="2002"/>
            <w:vAlign w:val="center"/>
            <w:tcMar>
              <w:top w:w="65" w:type="dxa"/>
              <w:start w:w="75" w:type="dxa"/>
              <w:bottom w:w="65" w:type="dxa"/>
              <w:end w:w="75" w:type="dxa"/>
            </w:tcMar>
            <w:shd w:fill="F0F5F5"/>
          </w:tcPr>
          <w:p>
            <w:pPr>
              <w:spacing w:after="0" w:line="259" w:lineRule="auto"/>
            </w:pPr>
            <w:r>
              <w:rPr>
                <w:rFonts w:ascii="Lato" w:hAnsi="Lato"/>
                <w:color w:val="202D33"/>
                <w:sz w:val="15"/>
              </w:rPr>
              <w:t>Member 4 — UI &amp; AWS</w:t>
            </w:r>
          </w:p>
        </w:tc>
        <w:tc>
          <w:tcPr>
            <w:tcW w:type="dxa" w:w="4320"/>
            <w:vAlign w:val="center"/>
            <w:tcMar>
              <w:top w:w="65" w:type="dxa"/>
              <w:start w:w="75" w:type="dxa"/>
              <w:bottom w:w="65" w:type="dxa"/>
              <w:end w:w="75" w:type="dxa"/>
            </w:tcMar>
            <w:shd w:fill="F0F5F5"/>
          </w:tcPr>
          <w:p>
            <w:pPr>
              <w:spacing w:after="0" w:line="259" w:lineRule="auto"/>
            </w:pPr>
            <w:r>
              <w:rPr>
                <w:rFonts w:ascii="Lato" w:hAnsi="Lato"/>
                <w:color w:val="202D33"/>
                <w:sz w:val="15"/>
              </w:rPr>
              <w:t>Streamlit map/charts, run comparison, S3 and Bedrock adapters, deployment and fallback.</w:t>
            </w:r>
          </w:p>
        </w:tc>
        <w:tc>
          <w:tcPr>
            <w:tcW w:type="dxa" w:w="3499"/>
            <w:vAlign w:val="center"/>
            <w:tcMar>
              <w:top w:w="65" w:type="dxa"/>
              <w:start w:w="75" w:type="dxa"/>
              <w:bottom w:w="65" w:type="dxa"/>
              <w:end w:w="75" w:type="dxa"/>
            </w:tcMar>
            <w:shd w:fill="F0F5F5"/>
          </w:tcPr>
          <w:p>
            <w:pPr>
              <w:spacing w:after="0" w:line="259" w:lineRule="auto"/>
            </w:pPr>
            <w:r>
              <w:rPr>
                <w:rFonts w:ascii="Lato" w:hAnsi="Lato"/>
                <w:color w:val="202D33"/>
                <w:sz w:val="15"/>
              </w:rPr>
              <w:t>Working interactive app + smoke tests.</w:t>
            </w:r>
          </w:p>
        </w:tc>
      </w:tr>
    </w:tbl>
    <w:p>
      <w:pPr>
        <w:spacing w:after="40"/>
      </w:pPr>
    </w:p>
    <w:p>
      <w:r>
        <w:t>Coordination rule: 15-minute integration check roughly every 2–3 hours; notify the lead immediately on schema changes, external API access failures or estimates that cannot be scientifically supported.</w:t>
      </w:r>
    </w:p>
    <w:p>
      <w:pPr>
        <w:pStyle w:val="Heading1"/>
      </w:pPr>
      <w:r>
        <w:t>12. 24-hour implementation schedule</w:t>
      </w:r>
    </w:p>
    <w:p>
      <w:r>
        <w:t>Event timetable supplied by the team: 23 October 2026, 10:00 build start; 15:00 mentoring; 24 October 2026, 10:00 build concludes/final judgement begins. The schedule below uses hours from build start and should be treated as a time-box rather than a claim that an individual stage is already complete.</w:t>
      </w:r>
    </w:p>
    <w:tbl>
      <w:tblPr>
        <w:tblW w:type="auto" w:w="0"/>
        <w:jc w:val="center"/>
        <w:tblLayout w:type="fixed"/>
        <w:tblLook w:firstColumn="1" w:firstRow="1" w:lastColumn="0" w:lastRow="0" w:noHBand="0" w:noVBand="1" w:val="04A0"/>
      </w:tblPr>
      <w:tblGrid>
        <w:gridCol w:w="2016"/>
        <w:gridCol w:w="4334"/>
        <w:gridCol w:w="3470"/>
      </w:tblGrid>
      <w:tr>
        <w:trPr>
          <w:tblHeader w:val="true"/>
          <w:cantSplit/>
        </w:trPr>
        <w:tc>
          <w:tcPr>
            <w:tcW w:type="dxa" w:w="2016"/>
            <w:shd w:fill="143A49"/>
            <w:tcMar>
              <w:top w:w="85" w:type="dxa"/>
              <w:start w:w="85" w:type="dxa"/>
              <w:bottom w:w="85" w:type="dxa"/>
              <w:end w:w="85" w:type="dxa"/>
            </w:tcMar>
          </w:tcPr>
          <w:p>
            <w:pPr>
              <w:spacing w:after="0"/>
            </w:pPr>
            <w:r>
              <w:rPr>
                <w:rFonts w:ascii="Lato" w:hAnsi="Lato"/>
                <w:b/>
                <w:color w:val="FFFFFF"/>
                <w:sz w:val="14"/>
              </w:rPr>
              <w:t>Time / gate</w:t>
            </w:r>
          </w:p>
        </w:tc>
        <w:tc>
          <w:tcPr>
            <w:tcW w:type="dxa" w:w="4334"/>
            <w:shd w:fill="143A49"/>
            <w:tcMar>
              <w:top w:w="85" w:type="dxa"/>
              <w:start w:w="85" w:type="dxa"/>
              <w:bottom w:w="85" w:type="dxa"/>
              <w:end w:w="85" w:type="dxa"/>
            </w:tcMar>
          </w:tcPr>
          <w:p>
            <w:pPr>
              <w:spacing w:after="0"/>
            </w:pPr>
            <w:r>
              <w:rPr>
                <w:rFonts w:ascii="Lato" w:hAnsi="Lato"/>
                <w:b/>
                <w:color w:val="FFFFFF"/>
                <w:sz w:val="14"/>
              </w:rPr>
              <w:t>Build tasks</w:t>
            </w:r>
          </w:p>
        </w:tc>
        <w:tc>
          <w:tcPr>
            <w:tcW w:type="dxa" w:w="3470"/>
            <w:shd w:fill="143A49"/>
            <w:tcMar>
              <w:top w:w="85" w:type="dxa"/>
              <w:start w:w="85" w:type="dxa"/>
              <w:bottom w:w="85" w:type="dxa"/>
              <w:end w:w="85" w:type="dxa"/>
            </w:tcMar>
          </w:tcPr>
          <w:p>
            <w:pPr>
              <w:spacing w:after="0"/>
            </w:pPr>
            <w:r>
              <w:rPr>
                <w:rFonts w:ascii="Lato" w:hAnsi="Lato"/>
                <w:b/>
                <w:color w:val="FFFFFF"/>
                <w:sz w:val="14"/>
              </w:rPr>
              <w:t>Done means</w:t>
            </w:r>
          </w:p>
        </w:tc>
      </w:tr>
      <w:tr>
        <w:trPr>
          <w:cantSplit/>
        </w:trPr>
        <w:tc>
          <w:tcPr>
            <w:tcW w:type="dxa" w:w="2016"/>
            <w:vAlign w:val="center"/>
            <w:tcMar>
              <w:top w:w="65" w:type="dxa"/>
              <w:start w:w="75" w:type="dxa"/>
              <w:bottom w:w="65" w:type="dxa"/>
              <w:end w:w="75" w:type="dxa"/>
            </w:tcMar>
          </w:tcPr>
          <w:p>
            <w:pPr>
              <w:spacing w:after="0" w:line="259" w:lineRule="auto"/>
            </w:pPr>
            <w:r>
              <w:rPr>
                <w:rFonts w:ascii="Lato" w:hAnsi="Lato"/>
                <w:color w:val="202D33"/>
                <w:sz w:val="14"/>
              </w:rPr>
              <w:t>H0–H2 | 10:00–12:00</w:t>
            </w:r>
          </w:p>
        </w:tc>
        <w:tc>
          <w:tcPr>
            <w:tcW w:type="dxa" w:w="4334"/>
            <w:vAlign w:val="center"/>
            <w:tcMar>
              <w:top w:w="65" w:type="dxa"/>
              <w:start w:w="75" w:type="dxa"/>
              <w:bottom w:w="65" w:type="dxa"/>
              <w:end w:w="75" w:type="dxa"/>
            </w:tcMar>
          </w:tcPr>
          <w:p>
            <w:pPr>
              <w:spacing w:after="0" w:line="259" w:lineRule="auto"/>
            </w:pPr>
            <w:r>
              <w:rPr>
                <w:rFonts w:ascii="Lato" w:hAnsi="Lato"/>
                <w:color w:val="202D33"/>
                <w:sz w:val="14"/>
              </w:rPr>
              <w:t>Freeze zone scope; data snapshots; Pydantic schemas; project catalogue; objective bounds; assignments; initialize repository.</w:t>
            </w:r>
          </w:p>
        </w:tc>
        <w:tc>
          <w:tcPr>
            <w:tcW w:type="dxa" w:w="3470"/>
            <w:vAlign w:val="center"/>
            <w:tcMar>
              <w:top w:w="65" w:type="dxa"/>
              <w:start w:w="75" w:type="dxa"/>
              <w:bottom w:w="65" w:type="dxa"/>
              <w:end w:w="75" w:type="dxa"/>
            </w:tcMar>
          </w:tcPr>
          <w:p>
            <w:pPr>
              <w:spacing w:after="0" w:line="259" w:lineRule="auto"/>
            </w:pPr>
            <w:r>
              <w:rPr>
                <w:rFonts w:ascii="Lato" w:hAnsi="Lato"/>
                <w:color w:val="202D33"/>
                <w:sz w:val="14"/>
              </w:rPr>
              <w:t>Validated schemas and one-zone/two-intervention test fixture.</w:t>
            </w:r>
          </w:p>
        </w:tc>
      </w:tr>
      <w:tr>
        <w:trPr>
          <w:cantSplit/>
        </w:trPr>
        <w:tc>
          <w:tcPr>
            <w:tcW w:type="dxa" w:w="2016"/>
            <w:vAlign w:val="center"/>
            <w:tcMar>
              <w:top w:w="65" w:type="dxa"/>
              <w:start w:w="75" w:type="dxa"/>
              <w:bottom w:w="65" w:type="dxa"/>
              <w:end w:w="75" w:type="dxa"/>
            </w:tcMar>
            <w:shd w:fill="F0F5F5"/>
          </w:tcPr>
          <w:p>
            <w:pPr>
              <w:spacing w:after="0" w:line="259" w:lineRule="auto"/>
            </w:pPr>
            <w:r>
              <w:rPr>
                <w:rFonts w:ascii="Lato" w:hAnsi="Lato"/>
                <w:color w:val="202D33"/>
                <w:sz w:val="14"/>
              </w:rPr>
              <w:t>H2–H5 | 12:00–15:00</w:t>
            </w:r>
          </w:p>
        </w:tc>
        <w:tc>
          <w:tcPr>
            <w:tcW w:type="dxa" w:w="4334"/>
            <w:vAlign w:val="center"/>
            <w:tcMar>
              <w:top w:w="65" w:type="dxa"/>
              <w:start w:w="75" w:type="dxa"/>
              <w:bottom w:w="65" w:type="dxa"/>
              <w:end w:w="75" w:type="dxa"/>
            </w:tcMar>
            <w:shd w:fill="F0F5F5"/>
          </w:tcPr>
          <w:p>
            <w:pPr>
              <w:spacing w:after="0" w:line="259" w:lineRule="auto"/>
            </w:pPr>
            <w:r>
              <w:rPr>
                <w:rFonts w:ascii="Lato" w:hAnsi="Lato"/>
                <w:color w:val="202D33"/>
                <w:sz w:val="14"/>
              </w:rPr>
              <w:t>Implement core physical coefficients, eligibility, capex, and first MILP; basic CLI/display.</w:t>
            </w:r>
          </w:p>
        </w:tc>
        <w:tc>
          <w:tcPr>
            <w:tcW w:type="dxa" w:w="3470"/>
            <w:vAlign w:val="center"/>
            <w:tcMar>
              <w:top w:w="65" w:type="dxa"/>
              <w:start w:w="75" w:type="dxa"/>
              <w:bottom w:w="65" w:type="dxa"/>
              <w:end w:w="75" w:type="dxa"/>
            </w:tcMar>
            <w:shd w:fill="F0F5F5"/>
          </w:tcPr>
          <w:p>
            <w:pPr>
              <w:spacing w:after="0" w:line="259" w:lineRule="auto"/>
            </w:pPr>
            <w:r>
              <w:rPr>
                <w:rFonts w:ascii="Lato" w:hAnsi="Lato"/>
                <w:color w:val="202D33"/>
                <w:sz w:val="14"/>
              </w:rPr>
              <w:t>Optimizer produces a feasible allocation with constraints; ready for mentoring.</w:t>
            </w:r>
          </w:p>
        </w:tc>
      </w:tr>
      <w:tr>
        <w:trPr>
          <w:cantSplit/>
        </w:trPr>
        <w:tc>
          <w:tcPr>
            <w:tcW w:type="dxa" w:w="2016"/>
            <w:vAlign w:val="center"/>
            <w:tcMar>
              <w:top w:w="65" w:type="dxa"/>
              <w:start w:w="75" w:type="dxa"/>
              <w:bottom w:w="65" w:type="dxa"/>
              <w:end w:w="75" w:type="dxa"/>
            </w:tcMar>
          </w:tcPr>
          <w:p>
            <w:pPr>
              <w:spacing w:after="0" w:line="259" w:lineRule="auto"/>
            </w:pPr>
            <w:r>
              <w:rPr>
                <w:rFonts w:ascii="Lato" w:hAnsi="Lato"/>
                <w:color w:val="202D33"/>
                <w:sz w:val="14"/>
              </w:rPr>
              <w:t>H5–H8 | 15:00–18:00</w:t>
            </w:r>
          </w:p>
        </w:tc>
        <w:tc>
          <w:tcPr>
            <w:tcW w:type="dxa" w:w="4334"/>
            <w:vAlign w:val="center"/>
            <w:tcMar>
              <w:top w:w="65" w:type="dxa"/>
              <w:start w:w="75" w:type="dxa"/>
              <w:bottom w:w="65" w:type="dxa"/>
              <w:end w:w="75" w:type="dxa"/>
            </w:tcMar>
          </w:tcPr>
          <w:p>
            <w:pPr>
              <w:spacing w:after="0" w:line="259" w:lineRule="auto"/>
            </w:pPr>
            <w:r>
              <w:rPr>
                <w:rFonts w:ascii="Lato" w:hAnsi="Lato"/>
                <w:color w:val="202D33"/>
                <w:sz w:val="14"/>
              </w:rPr>
              <w:t>Finish four interventions, three zones; implement rainfall/drought/budget overrides and old/new plan.</w:t>
            </w:r>
          </w:p>
        </w:tc>
        <w:tc>
          <w:tcPr>
            <w:tcW w:type="dxa" w:w="3470"/>
            <w:vAlign w:val="center"/>
            <w:tcMar>
              <w:top w:w="65" w:type="dxa"/>
              <w:start w:w="75" w:type="dxa"/>
              <w:bottom w:w="65" w:type="dxa"/>
              <w:end w:w="75" w:type="dxa"/>
            </w:tcMar>
          </w:tcPr>
          <w:p>
            <w:pPr>
              <w:spacing w:after="0" w:line="259" w:lineRule="auto"/>
            </w:pPr>
            <w:r>
              <w:rPr>
                <w:rFonts w:ascii="Lato" w:hAnsi="Lato"/>
                <w:color w:val="202D33"/>
                <w:sz w:val="14"/>
              </w:rPr>
              <w:t>All three shocks cause real recomputation with consistent units.</w:t>
            </w:r>
          </w:p>
        </w:tc>
      </w:tr>
      <w:tr>
        <w:trPr>
          <w:cantSplit/>
        </w:trPr>
        <w:tc>
          <w:tcPr>
            <w:tcW w:type="dxa" w:w="2016"/>
            <w:vAlign w:val="center"/>
            <w:tcMar>
              <w:top w:w="65" w:type="dxa"/>
              <w:start w:w="75" w:type="dxa"/>
              <w:bottom w:w="65" w:type="dxa"/>
              <w:end w:w="75" w:type="dxa"/>
            </w:tcMar>
            <w:shd w:fill="F0F5F5"/>
          </w:tcPr>
          <w:p>
            <w:pPr>
              <w:spacing w:after="0" w:line="259" w:lineRule="auto"/>
            </w:pPr>
            <w:r>
              <w:rPr>
                <w:rFonts w:ascii="Lato" w:hAnsi="Lato"/>
                <w:color w:val="202D33"/>
                <w:sz w:val="14"/>
              </w:rPr>
              <w:t>H8–H12 | 18:00–22:00</w:t>
            </w:r>
          </w:p>
        </w:tc>
        <w:tc>
          <w:tcPr>
            <w:tcW w:type="dxa" w:w="4334"/>
            <w:vAlign w:val="center"/>
            <w:tcMar>
              <w:top w:w="65" w:type="dxa"/>
              <w:start w:w="75" w:type="dxa"/>
              <w:bottom w:w="65" w:type="dxa"/>
              <w:end w:w="75" w:type="dxa"/>
            </w:tcMar>
            <w:shd w:fill="F0F5F5"/>
          </w:tcPr>
          <w:p>
            <w:pPr>
              <w:spacing w:after="0" w:line="259" w:lineRule="auto"/>
            </w:pPr>
            <w:r>
              <w:rPr>
                <w:rFonts w:ascii="Lato" w:hAnsi="Lato"/>
                <w:color w:val="202D33"/>
                <w:sz w:val="14"/>
              </w:rPr>
              <w:t>Connect four Streamlit tabs, map, costs, benefits, equity and deterministic explanations.</w:t>
            </w:r>
          </w:p>
        </w:tc>
        <w:tc>
          <w:tcPr>
            <w:tcW w:type="dxa" w:w="3470"/>
            <w:vAlign w:val="center"/>
            <w:tcMar>
              <w:top w:w="65" w:type="dxa"/>
              <w:start w:w="75" w:type="dxa"/>
              <w:bottom w:w="65" w:type="dxa"/>
              <w:end w:w="75" w:type="dxa"/>
            </w:tcMar>
            <w:shd w:fill="F0F5F5"/>
          </w:tcPr>
          <w:p>
            <w:pPr>
              <w:spacing w:after="0" w:line="259" w:lineRule="auto"/>
            </w:pPr>
            <w:r>
              <w:rPr>
                <w:rFonts w:ascii="Lato" w:hAnsi="Lato"/>
                <w:color w:val="202D33"/>
                <w:sz w:val="14"/>
              </w:rPr>
              <w:t>All five official MVP modules work end-to-end.</w:t>
            </w:r>
          </w:p>
        </w:tc>
      </w:tr>
      <w:tr>
        <w:trPr>
          <w:cantSplit/>
        </w:trPr>
        <w:tc>
          <w:tcPr>
            <w:tcW w:type="dxa" w:w="2016"/>
            <w:vAlign w:val="center"/>
            <w:tcMar>
              <w:top w:w="65" w:type="dxa"/>
              <w:start w:w="75" w:type="dxa"/>
              <w:bottom w:w="65" w:type="dxa"/>
              <w:end w:w="75" w:type="dxa"/>
            </w:tcMar>
          </w:tcPr>
          <w:p>
            <w:pPr>
              <w:spacing w:after="0" w:line="259" w:lineRule="auto"/>
            </w:pPr>
            <w:r>
              <w:rPr>
                <w:rFonts w:ascii="Lato" w:hAnsi="Lato"/>
                <w:color w:val="202D33"/>
                <w:sz w:val="14"/>
              </w:rPr>
              <w:t>H12–H15 | 22:00–01:00</w:t>
            </w:r>
          </w:p>
        </w:tc>
        <w:tc>
          <w:tcPr>
            <w:tcW w:type="dxa" w:w="4334"/>
            <w:vAlign w:val="center"/>
            <w:tcMar>
              <w:top w:w="65" w:type="dxa"/>
              <w:start w:w="75" w:type="dxa"/>
              <w:bottom w:w="65" w:type="dxa"/>
              <w:end w:w="75" w:type="dxa"/>
            </w:tcMar>
          </w:tcPr>
          <w:p>
            <w:pPr>
              <w:spacing w:after="0" w:line="259" w:lineRule="auto"/>
            </w:pPr>
            <w:r>
              <w:rPr>
                <w:rFonts w:ascii="Lato" w:hAnsi="Lato"/>
                <w:color w:val="202D33"/>
                <w:sz w:val="14"/>
              </w:rPr>
              <w:t>Add same-budget baseline comparison, run-store history, S3 if available and Bedrock after model checks.</w:t>
            </w:r>
          </w:p>
        </w:tc>
        <w:tc>
          <w:tcPr>
            <w:tcW w:type="dxa" w:w="3470"/>
            <w:vAlign w:val="center"/>
            <w:tcMar>
              <w:top w:w="65" w:type="dxa"/>
              <w:start w:w="75" w:type="dxa"/>
              <w:bottom w:w="65" w:type="dxa"/>
              <w:end w:w="75" w:type="dxa"/>
            </w:tcMar>
          </w:tcPr>
          <w:p>
            <w:pPr>
              <w:spacing w:after="0" w:line="259" w:lineRule="auto"/>
            </w:pPr>
            <w:r>
              <w:rPr>
                <w:rFonts w:ascii="Lato" w:hAnsi="Lato"/>
                <w:color w:val="202D33"/>
                <w:sz w:val="14"/>
              </w:rPr>
              <w:t>Comparable saved runs and meaningful AWS demonstration.</w:t>
            </w:r>
          </w:p>
        </w:tc>
      </w:tr>
      <w:tr>
        <w:trPr>
          <w:cantSplit/>
        </w:trPr>
        <w:tc>
          <w:tcPr>
            <w:tcW w:type="dxa" w:w="2016"/>
            <w:vAlign w:val="center"/>
            <w:tcMar>
              <w:top w:w="65" w:type="dxa"/>
              <w:start w:w="75" w:type="dxa"/>
              <w:bottom w:w="65" w:type="dxa"/>
              <w:end w:w="75" w:type="dxa"/>
            </w:tcMar>
            <w:shd w:fill="F0F5F5"/>
          </w:tcPr>
          <w:p>
            <w:pPr>
              <w:spacing w:after="0" w:line="259" w:lineRule="auto"/>
            </w:pPr>
            <w:r>
              <w:rPr>
                <w:rFonts w:ascii="Lato" w:hAnsi="Lato"/>
                <w:color w:val="202D33"/>
                <w:sz w:val="14"/>
              </w:rPr>
              <w:t>H15–H18 | 01:00–04:00</w:t>
            </w:r>
          </w:p>
        </w:tc>
        <w:tc>
          <w:tcPr>
            <w:tcW w:type="dxa" w:w="4334"/>
            <w:vAlign w:val="center"/>
            <w:tcMar>
              <w:top w:w="65" w:type="dxa"/>
              <w:start w:w="75" w:type="dxa"/>
              <w:bottom w:w="65" w:type="dxa"/>
              <w:end w:w="75" w:type="dxa"/>
            </w:tcMar>
            <w:shd w:fill="F0F5F5"/>
          </w:tcPr>
          <w:p>
            <w:pPr>
              <w:spacing w:after="0" w:line="259" w:lineRule="auto"/>
            </w:pPr>
            <w:r>
              <w:rPr>
                <w:rFonts w:ascii="Lato" w:hAnsi="Lato"/>
                <w:color w:val="202D33"/>
                <w:sz w:val="14"/>
              </w:rPr>
              <w:t>Harden carbon/LCC evidence, objective breakdown, uncertainty sensitivity; optional decision brief.</w:t>
            </w:r>
          </w:p>
        </w:tc>
        <w:tc>
          <w:tcPr>
            <w:tcW w:type="dxa" w:w="3470"/>
            <w:vAlign w:val="center"/>
            <w:tcMar>
              <w:top w:w="65" w:type="dxa"/>
              <w:start w:w="75" w:type="dxa"/>
              <w:bottom w:w="65" w:type="dxa"/>
              <w:end w:w="75" w:type="dxa"/>
            </w:tcMar>
            <w:shd w:fill="F0F5F5"/>
          </w:tcPr>
          <w:p>
            <w:pPr>
              <w:spacing w:after="0" w:line="259" w:lineRule="auto"/>
            </w:pPr>
            <w:r>
              <w:rPr>
                <w:rFonts w:ascii="Lato" w:hAnsi="Lato"/>
                <w:color w:val="202D33"/>
                <w:sz w:val="14"/>
              </w:rPr>
              <w:t>No unsupported impacts; evidence and caveats visible.</w:t>
            </w:r>
          </w:p>
        </w:tc>
      </w:tr>
      <w:tr>
        <w:trPr>
          <w:cantSplit/>
        </w:trPr>
        <w:tc>
          <w:tcPr>
            <w:tcW w:type="dxa" w:w="2016"/>
            <w:vAlign w:val="center"/>
            <w:tcMar>
              <w:top w:w="65" w:type="dxa"/>
              <w:start w:w="75" w:type="dxa"/>
              <w:bottom w:w="65" w:type="dxa"/>
              <w:end w:w="75" w:type="dxa"/>
            </w:tcMar>
          </w:tcPr>
          <w:p>
            <w:pPr>
              <w:spacing w:after="0" w:line="259" w:lineRule="auto"/>
            </w:pPr>
            <w:r>
              <w:rPr>
                <w:rFonts w:ascii="Lato" w:hAnsi="Lato"/>
                <w:color w:val="202D33"/>
                <w:sz w:val="14"/>
              </w:rPr>
              <w:t>H18–H21 | 04:00–07:00</w:t>
            </w:r>
          </w:p>
        </w:tc>
        <w:tc>
          <w:tcPr>
            <w:tcW w:type="dxa" w:w="4334"/>
            <w:vAlign w:val="center"/>
            <w:tcMar>
              <w:top w:w="65" w:type="dxa"/>
              <w:start w:w="75" w:type="dxa"/>
              <w:bottom w:w="65" w:type="dxa"/>
              <w:end w:w="75" w:type="dxa"/>
            </w:tcMar>
          </w:tcPr>
          <w:p>
            <w:pPr>
              <w:spacing w:after="0" w:line="259" w:lineRule="auto"/>
            </w:pPr>
            <w:r>
              <w:rPr>
                <w:rFonts w:ascii="Lato" w:hAnsi="Lato"/>
                <w:color w:val="202D33"/>
                <w:sz w:val="14"/>
              </w:rPr>
              <w:t>Test solver, physics, scenarios and deployment; freeze data and model; screenshot backup.</w:t>
            </w:r>
          </w:p>
        </w:tc>
        <w:tc>
          <w:tcPr>
            <w:tcW w:type="dxa" w:w="3470"/>
            <w:vAlign w:val="center"/>
            <w:tcMar>
              <w:top w:w="65" w:type="dxa"/>
              <w:start w:w="75" w:type="dxa"/>
              <w:bottom w:w="65" w:type="dxa"/>
              <w:end w:w="75" w:type="dxa"/>
            </w:tcMar>
          </w:tcPr>
          <w:p>
            <w:pPr>
              <w:spacing w:after="0" w:line="259" w:lineRule="auto"/>
            </w:pPr>
            <w:r>
              <w:rPr>
                <w:rFonts w:ascii="Lato" w:hAnsi="Lato"/>
                <w:color w:val="202D33"/>
                <w:sz w:val="14"/>
              </w:rPr>
              <w:t>Release candidate passes P0 checks and offline fallback.</w:t>
            </w:r>
          </w:p>
        </w:tc>
      </w:tr>
      <w:tr>
        <w:trPr>
          <w:cantSplit/>
        </w:trPr>
        <w:tc>
          <w:tcPr>
            <w:tcW w:type="dxa" w:w="2016"/>
            <w:vAlign w:val="center"/>
            <w:tcMar>
              <w:top w:w="65" w:type="dxa"/>
              <w:start w:w="75" w:type="dxa"/>
              <w:bottom w:w="65" w:type="dxa"/>
              <w:end w:w="75" w:type="dxa"/>
            </w:tcMar>
            <w:shd w:fill="F0F5F5"/>
          </w:tcPr>
          <w:p>
            <w:pPr>
              <w:spacing w:after="0" w:line="259" w:lineRule="auto"/>
            </w:pPr>
            <w:r>
              <w:rPr>
                <w:rFonts w:ascii="Lato" w:hAnsi="Lato"/>
                <w:color w:val="202D33"/>
                <w:sz w:val="14"/>
              </w:rPr>
              <w:t>H21–H24 | 07:00–10:00</w:t>
            </w:r>
          </w:p>
        </w:tc>
        <w:tc>
          <w:tcPr>
            <w:tcW w:type="dxa" w:w="4334"/>
            <w:vAlign w:val="center"/>
            <w:tcMar>
              <w:top w:w="65" w:type="dxa"/>
              <w:start w:w="75" w:type="dxa"/>
              <w:bottom w:w="65" w:type="dxa"/>
              <w:end w:w="75" w:type="dxa"/>
            </w:tcMar>
            <w:shd w:fill="F0F5F5"/>
          </w:tcPr>
          <w:p>
            <w:pPr>
              <w:spacing w:after="0" w:line="259" w:lineRule="auto"/>
            </w:pPr>
            <w:r>
              <w:rPr>
                <w:rFonts w:ascii="Lato" w:hAnsi="Lato"/>
                <w:color w:val="202D33"/>
                <w:sz w:val="14"/>
              </w:rPr>
              <w:t>Rehearse pitch, finalize README, slide evidence, submission; only critical fixes.</w:t>
            </w:r>
          </w:p>
        </w:tc>
        <w:tc>
          <w:tcPr>
            <w:tcW w:type="dxa" w:w="3470"/>
            <w:vAlign w:val="center"/>
            <w:tcMar>
              <w:top w:w="65" w:type="dxa"/>
              <w:start w:w="75" w:type="dxa"/>
              <w:bottom w:w="65" w:type="dxa"/>
              <w:end w:w="75" w:type="dxa"/>
            </w:tcMar>
            <w:shd w:fill="F0F5F5"/>
          </w:tcPr>
          <w:p>
            <w:pPr>
              <w:spacing w:after="0" w:line="259" w:lineRule="auto"/>
            </w:pPr>
            <w:r>
              <w:rPr>
                <w:rFonts w:ascii="Lato" w:hAnsi="Lato"/>
                <w:color w:val="202D33"/>
                <w:sz w:val="14"/>
              </w:rPr>
              <w:t>Working public/local demo and 3-minute judge narrative.</w:t>
            </w:r>
          </w:p>
        </w:tc>
      </w:tr>
    </w:tbl>
    <w:p>
      <w:pPr>
        <w:spacing w:after="40"/>
      </w:pPr>
    </w:p>
    <w:tbl>
      <w:tblPr>
        <w:tblW w:type="auto" w:w="0"/>
        <w:tblLook w:firstColumn="1" w:firstRow="1" w:lastColumn="0" w:lastRow="0" w:noHBand="0" w:noVBand="1" w:val="04A0"/>
      </w:tblPr>
      <w:tblGrid>
        <w:gridCol w:w="9749"/>
      </w:tblGrid>
      <w:tr>
        <w:tc>
          <w:tcPr>
            <w:tcW w:type="dxa" w:w="9749"/>
            <w:shd w:fill="EAF5F3"/>
            <w:tcMar>
              <w:top w:w="120" w:type="dxa"/>
              <w:start w:w="150" w:type="dxa"/>
              <w:bottom w:w="110" w:type="dxa"/>
              <w:end w:w="150" w:type="dxa"/>
            </w:tcMar>
          </w:tcPr>
          <w:p>
            <w:pPr>
              <w:spacing w:after="80"/>
            </w:pPr>
            <w:r>
              <w:rPr>
                <w:b/>
                <w:color w:val="0F7671"/>
                <w:sz w:val="16"/>
              </w:rPr>
              <w:t>STOP-WORK RULE</w:t>
            </w:r>
          </w:p>
          <w:p>
            <w:pPr>
              <w:spacing w:after="0"/>
            </w:pPr>
            <w:r>
              <w:rPr>
                <w:sz w:val="18"/>
              </w:rPr>
              <w:t>If the H5 optimiser is not working, suspend visual polish and AWS extras. If the H12 five-module workflow is incomplete, cut all P1/P2 features. At H21 freeze the model and focus on a stable demonstration.</w:t>
            </w:r>
          </w:p>
        </w:tc>
      </w:tr>
    </w:tbl>
    <w:p>
      <w:pPr>
        <w:spacing w:after="20"/>
      </w:pPr>
    </w:p>
    <w:p>
      <w:pPr>
        <w:pStyle w:val="Heading1"/>
      </w:pPr>
      <w:r>
        <w:t>13. Acceptance tests and scientific verification</w:t>
      </w:r>
    </w:p>
    <w:p>
      <w:pPr>
        <w:pStyle w:val="Heading2"/>
      </w:pPr>
      <w:r>
        <w:t>13.1 Automated tests</w:t>
      </w:r>
    </w:p>
    <w:tbl>
      <w:tblPr>
        <w:tblW w:type="auto" w:w="0"/>
        <w:jc w:val="center"/>
        <w:tblLayout w:type="fixed"/>
        <w:tblLook w:firstColumn="1" w:firstRow="1" w:lastColumn="0" w:lastRow="0" w:noHBand="0" w:noVBand="1" w:val="04A0"/>
      </w:tblPr>
      <w:tblGrid>
        <w:gridCol w:w="1800"/>
        <w:gridCol w:w="8021"/>
      </w:tblGrid>
      <w:tr>
        <w:trPr>
          <w:tblHeader w:val="true"/>
          <w:cantSplit/>
        </w:trPr>
        <w:tc>
          <w:tcPr>
            <w:tcW w:type="dxa" w:w="1800"/>
            <w:shd w:fill="143A49"/>
            <w:tcMar>
              <w:top w:w="85" w:type="dxa"/>
              <w:start w:w="85" w:type="dxa"/>
              <w:bottom w:w="85" w:type="dxa"/>
              <w:end w:w="85" w:type="dxa"/>
            </w:tcMar>
          </w:tcPr>
          <w:p>
            <w:pPr>
              <w:spacing w:after="0"/>
            </w:pPr>
            <w:r>
              <w:rPr>
                <w:rFonts w:ascii="Lato" w:hAnsi="Lato"/>
                <w:b/>
                <w:color w:val="FFFFFF"/>
                <w:sz w:val="15"/>
              </w:rPr>
              <w:t>Test family</w:t>
            </w:r>
          </w:p>
        </w:tc>
        <w:tc>
          <w:tcPr>
            <w:tcW w:type="dxa" w:w="8021"/>
            <w:shd w:fill="143A49"/>
            <w:tcMar>
              <w:top w:w="85" w:type="dxa"/>
              <w:start w:w="85" w:type="dxa"/>
              <w:bottom w:w="85" w:type="dxa"/>
              <w:end w:w="85" w:type="dxa"/>
            </w:tcMar>
          </w:tcPr>
          <w:p>
            <w:pPr>
              <w:spacing w:after="0"/>
            </w:pPr>
            <w:r>
              <w:rPr>
                <w:rFonts w:ascii="Lato" w:hAnsi="Lato"/>
                <w:b/>
                <w:color w:val="FFFFFF"/>
                <w:sz w:val="15"/>
              </w:rPr>
              <w:t>Required cases / assertions</w:t>
            </w:r>
          </w:p>
        </w:tc>
      </w:tr>
      <w:tr>
        <w:trPr>
          <w:cantSplit/>
        </w:trPr>
        <w:tc>
          <w:tcPr>
            <w:tcW w:type="dxa" w:w="1800"/>
            <w:vAlign w:val="center"/>
            <w:tcMar>
              <w:top w:w="65" w:type="dxa"/>
              <w:start w:w="75" w:type="dxa"/>
              <w:bottom w:w="65" w:type="dxa"/>
              <w:end w:w="75" w:type="dxa"/>
            </w:tcMar>
          </w:tcPr>
          <w:p>
            <w:pPr>
              <w:spacing w:after="0" w:line="259" w:lineRule="auto"/>
            </w:pPr>
            <w:r>
              <w:rPr>
                <w:rFonts w:ascii="Lato" w:hAnsi="Lato"/>
                <w:color w:val="202D33"/>
                <w:sz w:val="15"/>
              </w:rPr>
              <w:t>Input/contract</w:t>
            </w:r>
          </w:p>
        </w:tc>
        <w:tc>
          <w:tcPr>
            <w:tcW w:type="dxa" w:w="8021"/>
            <w:vAlign w:val="center"/>
            <w:tcMar>
              <w:top w:w="65" w:type="dxa"/>
              <w:start w:w="75" w:type="dxa"/>
              <w:bottom w:w="65" w:type="dxa"/>
              <w:end w:w="75" w:type="dxa"/>
            </w:tcMar>
          </w:tcPr>
          <w:p>
            <w:pPr>
              <w:spacing w:after="0" w:line="259" w:lineRule="auto"/>
            </w:pPr>
            <w:r>
              <w:rPr>
                <w:rFonts w:ascii="Lato" w:hAnsi="Lato"/>
                <w:color w:val="202D33"/>
                <w:sz w:val="15"/>
              </w:rPr>
              <w:t>Reject negative budget and cost; unknown units; invalid weights; unverified site availability; bad or missing source metadata.</w:t>
            </w:r>
          </w:p>
        </w:tc>
      </w:tr>
      <w:tr>
        <w:trPr>
          <w:cantSplit/>
        </w:trPr>
        <w:tc>
          <w:tcPr>
            <w:tcW w:type="dxa" w:w="1800"/>
            <w:vAlign w:val="center"/>
            <w:tcMar>
              <w:top w:w="65" w:type="dxa"/>
              <w:start w:w="75" w:type="dxa"/>
              <w:bottom w:w="65" w:type="dxa"/>
              <w:end w:w="75" w:type="dxa"/>
            </w:tcMar>
            <w:shd w:fill="F0F5F5"/>
          </w:tcPr>
          <w:p>
            <w:pPr>
              <w:spacing w:after="0" w:line="259" w:lineRule="auto"/>
            </w:pPr>
            <w:r>
              <w:rPr>
                <w:rFonts w:ascii="Lato" w:hAnsi="Lato"/>
                <w:color w:val="202D33"/>
                <w:sz w:val="15"/>
              </w:rPr>
              <w:t>Physical boundaries</w:t>
            </w:r>
          </w:p>
        </w:tc>
        <w:tc>
          <w:tcPr>
            <w:tcW w:type="dxa" w:w="8021"/>
            <w:vAlign w:val="center"/>
            <w:tcMar>
              <w:top w:w="65" w:type="dxa"/>
              <w:start w:w="75" w:type="dxa"/>
              <w:bottom w:w="65" w:type="dxa"/>
              <w:end w:w="75" w:type="dxa"/>
            </w:tcMar>
            <w:shd w:fill="F0F5F5"/>
          </w:tcPr>
          <w:p>
            <w:pPr>
              <w:spacing w:after="0" w:line="259" w:lineRule="auto"/>
            </w:pPr>
            <w:r>
              <w:rPr>
                <w:rFonts w:ascii="Lato" w:hAnsi="Lato"/>
                <w:color w:val="202D33"/>
                <w:sz w:val="15"/>
              </w:rPr>
              <w:t>Capture ≤ rainfall-derived potential; usable water ≤ demand/storage; land/roof units consistent; no impossible negative runoff.</w:t>
            </w:r>
          </w:p>
        </w:tc>
      </w:tr>
      <w:tr>
        <w:trPr>
          <w:cantSplit/>
        </w:trPr>
        <w:tc>
          <w:tcPr>
            <w:tcW w:type="dxa" w:w="1800"/>
            <w:vAlign w:val="center"/>
            <w:tcMar>
              <w:top w:w="65" w:type="dxa"/>
              <w:start w:w="75" w:type="dxa"/>
              <w:bottom w:w="65" w:type="dxa"/>
              <w:end w:w="75" w:type="dxa"/>
            </w:tcMar>
          </w:tcPr>
          <w:p>
            <w:pPr>
              <w:spacing w:after="0" w:line="259" w:lineRule="auto"/>
            </w:pPr>
            <w:r>
              <w:rPr>
                <w:rFonts w:ascii="Lato" w:hAnsi="Lato"/>
                <w:color w:val="202D33"/>
                <w:sz w:val="15"/>
              </w:rPr>
              <w:t>MILP and eligibility</w:t>
            </w:r>
          </w:p>
        </w:tc>
        <w:tc>
          <w:tcPr>
            <w:tcW w:type="dxa" w:w="8021"/>
            <w:vAlign w:val="center"/>
            <w:tcMar>
              <w:top w:w="65" w:type="dxa"/>
              <w:start w:w="75" w:type="dxa"/>
              <w:bottom w:w="65" w:type="dxa"/>
              <w:end w:w="75" w:type="dxa"/>
            </w:tcMar>
          </w:tcPr>
          <w:p>
            <w:pPr>
              <w:spacing w:after="0" w:line="259" w:lineRule="auto"/>
            </w:pPr>
            <w:r>
              <w:rPr>
                <w:rFonts w:ascii="Lato" w:hAnsi="Lato"/>
                <w:color w:val="202D33"/>
                <w:sz w:val="15"/>
              </w:rPr>
              <w:t>Respect budget; no over-capacity projects; dependencies/exclusions; fairness floor; valid solver status; zero-budget case.</w:t>
            </w:r>
          </w:p>
        </w:tc>
      </w:tr>
      <w:tr>
        <w:trPr>
          <w:cantSplit/>
        </w:trPr>
        <w:tc>
          <w:tcPr>
            <w:tcW w:type="dxa" w:w="1800"/>
            <w:vAlign w:val="center"/>
            <w:tcMar>
              <w:top w:w="65" w:type="dxa"/>
              <w:start w:w="75" w:type="dxa"/>
              <w:bottom w:w="65" w:type="dxa"/>
              <w:end w:w="75" w:type="dxa"/>
            </w:tcMar>
            <w:shd w:fill="F0F5F5"/>
          </w:tcPr>
          <w:p>
            <w:pPr>
              <w:spacing w:after="0" w:line="259" w:lineRule="auto"/>
            </w:pPr>
            <w:r>
              <w:rPr>
                <w:rFonts w:ascii="Lato" w:hAnsi="Lato"/>
                <w:color w:val="202D33"/>
                <w:sz w:val="15"/>
              </w:rPr>
              <w:t>Scenario invariants</w:t>
            </w:r>
          </w:p>
        </w:tc>
        <w:tc>
          <w:tcPr>
            <w:tcW w:type="dxa" w:w="8021"/>
            <w:vAlign w:val="center"/>
            <w:tcMar>
              <w:top w:w="65" w:type="dxa"/>
              <w:start w:w="75" w:type="dxa"/>
              <w:bottom w:w="65" w:type="dxa"/>
              <w:end w:w="75" w:type="dxa"/>
            </w:tcMar>
            <w:shd w:fill="F0F5F5"/>
          </w:tcPr>
          <w:p>
            <w:pPr>
              <w:spacing w:after="0" w:line="259" w:lineRule="auto"/>
            </w:pPr>
            <w:r>
              <w:rPr>
                <w:rFonts w:ascii="Lato" w:hAnsi="Lato"/>
                <w:color w:val="202D33"/>
                <w:sz w:val="15"/>
              </w:rPr>
              <w:t>All three shocks distinct; same model version; old plan not silently redesigned; new plan reoptimised; results reproducible.</w:t>
            </w:r>
          </w:p>
        </w:tc>
      </w:tr>
      <w:tr>
        <w:trPr>
          <w:cantSplit/>
        </w:trPr>
        <w:tc>
          <w:tcPr>
            <w:tcW w:type="dxa" w:w="1800"/>
            <w:vAlign w:val="center"/>
            <w:tcMar>
              <w:top w:w="65" w:type="dxa"/>
              <w:start w:w="75" w:type="dxa"/>
              <w:bottom w:w="65" w:type="dxa"/>
              <w:end w:w="75" w:type="dxa"/>
            </w:tcMar>
          </w:tcPr>
          <w:p>
            <w:pPr>
              <w:spacing w:after="0" w:line="259" w:lineRule="auto"/>
            </w:pPr>
            <w:r>
              <w:rPr>
                <w:rFonts w:ascii="Lato" w:hAnsi="Lato"/>
                <w:color w:val="202D33"/>
                <w:sz w:val="15"/>
              </w:rPr>
              <w:t>Comparison integrity</w:t>
            </w:r>
          </w:p>
        </w:tc>
        <w:tc>
          <w:tcPr>
            <w:tcW w:type="dxa" w:w="8021"/>
            <w:vAlign w:val="center"/>
            <w:tcMar>
              <w:top w:w="65" w:type="dxa"/>
              <w:start w:w="75" w:type="dxa"/>
              <w:bottom w:w="65" w:type="dxa"/>
              <w:end w:w="75" w:type="dxa"/>
            </w:tcMar>
          </w:tcPr>
          <w:p>
            <w:pPr>
              <w:spacing w:after="0" w:line="259" w:lineRule="auto"/>
            </w:pPr>
            <w:r>
              <w:rPr>
                <w:rFonts w:ascii="Lato" w:hAnsi="Lato"/>
                <w:color w:val="202D33"/>
                <w:sz w:val="15"/>
              </w:rPr>
              <w:t>Baselines share objective normalisation, geography, constraints, evaluation horizon and budget with selected optimum.</w:t>
            </w:r>
          </w:p>
        </w:tc>
      </w:tr>
      <w:tr>
        <w:trPr>
          <w:cantSplit/>
        </w:trPr>
        <w:tc>
          <w:tcPr>
            <w:tcW w:type="dxa" w:w="1800"/>
            <w:vAlign w:val="center"/>
            <w:tcMar>
              <w:top w:w="65" w:type="dxa"/>
              <w:start w:w="75" w:type="dxa"/>
              <w:bottom w:w="65" w:type="dxa"/>
              <w:end w:w="75" w:type="dxa"/>
            </w:tcMar>
            <w:shd w:fill="F0F5F5"/>
          </w:tcPr>
          <w:p>
            <w:pPr>
              <w:spacing w:after="0" w:line="259" w:lineRule="auto"/>
            </w:pPr>
            <w:r>
              <w:rPr>
                <w:rFonts w:ascii="Lato" w:hAnsi="Lato"/>
                <w:color w:val="202D33"/>
                <w:sz w:val="15"/>
              </w:rPr>
              <w:t>Explainability</w:t>
            </w:r>
          </w:p>
        </w:tc>
        <w:tc>
          <w:tcPr>
            <w:tcW w:type="dxa" w:w="8021"/>
            <w:vAlign w:val="center"/>
            <w:tcMar>
              <w:top w:w="65" w:type="dxa"/>
              <w:start w:w="75" w:type="dxa"/>
              <w:bottom w:w="65" w:type="dxa"/>
              <w:end w:w="75" w:type="dxa"/>
            </w:tcMar>
            <w:shd w:fill="F0F5F5"/>
          </w:tcPr>
          <w:p>
            <w:pPr>
              <w:spacing w:after="0" w:line="259" w:lineRule="auto"/>
            </w:pPr>
            <w:r>
              <w:rPr>
                <w:rFonts w:ascii="Lato" w:hAnsi="Lato"/>
                <w:color w:val="202D33"/>
                <w:sz w:val="15"/>
              </w:rPr>
              <w:t>Every quoted metric in generated explanation matches saved run; missing evidence clearly marked; no invented carbon/heat figures.</w:t>
            </w:r>
          </w:p>
        </w:tc>
      </w:tr>
      <w:tr>
        <w:trPr>
          <w:cantSplit/>
        </w:trPr>
        <w:tc>
          <w:tcPr>
            <w:tcW w:type="dxa" w:w="1800"/>
            <w:vAlign w:val="center"/>
            <w:tcMar>
              <w:top w:w="65" w:type="dxa"/>
              <w:start w:w="75" w:type="dxa"/>
              <w:bottom w:w="65" w:type="dxa"/>
              <w:end w:w="75" w:type="dxa"/>
            </w:tcMar>
          </w:tcPr>
          <w:p>
            <w:pPr>
              <w:spacing w:after="0" w:line="259" w:lineRule="auto"/>
            </w:pPr>
            <w:r>
              <w:rPr>
                <w:rFonts w:ascii="Lato" w:hAnsi="Lato"/>
                <w:color w:val="202D33"/>
                <w:sz w:val="15"/>
              </w:rPr>
              <w:t>Run persistence</w:t>
            </w:r>
          </w:p>
        </w:tc>
        <w:tc>
          <w:tcPr>
            <w:tcW w:type="dxa" w:w="8021"/>
            <w:vAlign w:val="center"/>
            <w:tcMar>
              <w:top w:w="65" w:type="dxa"/>
              <w:start w:w="75" w:type="dxa"/>
              <w:bottom w:w="65" w:type="dxa"/>
              <w:end w:w="75" w:type="dxa"/>
            </w:tcMar>
          </w:tcPr>
          <w:p>
            <w:pPr>
              <w:spacing w:after="0" w:line="259" w:lineRule="auto"/>
            </w:pPr>
            <w:r>
              <w:rPr>
                <w:rFonts w:ascii="Lato" w:hAnsi="Lato"/>
                <w:color w:val="202D33"/>
                <w:sz w:val="15"/>
              </w:rPr>
              <w:t>Unique run ID and input hash, immutable saved JSON, source/model version preserved and retrievable.</w:t>
            </w:r>
          </w:p>
        </w:tc>
      </w:tr>
      <w:tr>
        <w:trPr>
          <w:cantSplit/>
        </w:trPr>
        <w:tc>
          <w:tcPr>
            <w:tcW w:type="dxa" w:w="1800"/>
            <w:vAlign w:val="center"/>
            <w:tcMar>
              <w:top w:w="65" w:type="dxa"/>
              <w:start w:w="75" w:type="dxa"/>
              <w:bottom w:w="65" w:type="dxa"/>
              <w:end w:w="75" w:type="dxa"/>
            </w:tcMar>
            <w:shd w:fill="F0F5F5"/>
          </w:tcPr>
          <w:p>
            <w:pPr>
              <w:spacing w:after="0" w:line="259" w:lineRule="auto"/>
            </w:pPr>
            <w:r>
              <w:rPr>
                <w:rFonts w:ascii="Lato" w:hAnsi="Lato"/>
                <w:color w:val="202D33"/>
                <w:sz w:val="15"/>
              </w:rPr>
              <w:t>Cloud failure</w:t>
            </w:r>
          </w:p>
        </w:tc>
        <w:tc>
          <w:tcPr>
            <w:tcW w:type="dxa" w:w="8021"/>
            <w:vAlign w:val="center"/>
            <w:tcMar>
              <w:top w:w="65" w:type="dxa"/>
              <w:start w:w="75" w:type="dxa"/>
              <w:bottom w:w="65" w:type="dxa"/>
              <w:end w:w="75" w:type="dxa"/>
            </w:tcMar>
            <w:shd w:fill="F0F5F5"/>
          </w:tcPr>
          <w:p>
            <w:pPr>
              <w:spacing w:after="0" w:line="259" w:lineRule="auto"/>
            </w:pPr>
            <w:r>
              <w:rPr>
                <w:rFonts w:ascii="Lato" w:hAnsi="Lato"/>
                <w:color w:val="202D33"/>
                <w:sz w:val="15"/>
              </w:rPr>
              <w:t>App usable with local snapshot if S3/Bedrock unavailable; no leaked AWS credentials.</w:t>
            </w:r>
          </w:p>
        </w:tc>
      </w:tr>
      <w:tr>
        <w:trPr>
          <w:cantSplit/>
        </w:trPr>
        <w:tc>
          <w:tcPr>
            <w:tcW w:type="dxa" w:w="1800"/>
            <w:vAlign w:val="center"/>
            <w:tcMar>
              <w:top w:w="65" w:type="dxa"/>
              <w:start w:w="75" w:type="dxa"/>
              <w:bottom w:w="65" w:type="dxa"/>
              <w:end w:w="75" w:type="dxa"/>
            </w:tcMar>
          </w:tcPr>
          <w:p>
            <w:pPr>
              <w:spacing w:after="0" w:line="259" w:lineRule="auto"/>
            </w:pPr>
            <w:r>
              <w:rPr>
                <w:rFonts w:ascii="Lato" w:hAnsi="Lato"/>
                <w:color w:val="202D33"/>
                <w:sz w:val="15"/>
              </w:rPr>
              <w:t>Interface smoke</w:t>
            </w:r>
          </w:p>
        </w:tc>
        <w:tc>
          <w:tcPr>
            <w:tcW w:type="dxa" w:w="8021"/>
            <w:vAlign w:val="center"/>
            <w:tcMar>
              <w:top w:w="65" w:type="dxa"/>
              <w:start w:w="75" w:type="dxa"/>
              <w:bottom w:w="65" w:type="dxa"/>
              <w:end w:w="75" w:type="dxa"/>
            </w:tcMar>
          </w:tcPr>
          <w:p>
            <w:pPr>
              <w:spacing w:after="0" w:line="259" w:lineRule="auto"/>
            </w:pPr>
            <w:r>
              <w:rPr>
                <w:rFonts w:ascii="Lato" w:hAnsi="Lato"/>
                <w:color w:val="202D33"/>
                <w:sz w:val="15"/>
              </w:rPr>
              <w:t>Four tabs load; sliders change decisions; charts reflect current run; data gaps visible; no broken submission links.</w:t>
            </w:r>
          </w:p>
        </w:tc>
      </w:tr>
    </w:tbl>
    <w:p>
      <w:pPr>
        <w:spacing w:after="40"/>
      </w:pPr>
    </w:p>
    <w:p>
      <w:pPr>
        <w:pStyle w:val="Heading2"/>
      </w:pPr>
      <w:r>
        <w:t>13.2 Quantitative validation</w:t>
      </w:r>
    </w:p>
    <w:p>
      <w:pPr>
        <w:pStyle w:val="ListBullet"/>
      </w:pPr>
      <w:r>
        <w:t>Compare MILP output with brute-force enumeration on a tiny catalogue (one zone, several binary projects) to confirm optimum and feasibility.</w:t>
      </w:r>
    </w:p>
    <w:p>
      <w:pPr>
        <w:pStyle w:val="ListBullet"/>
      </w:pPr>
      <w:r>
        <w:t>Check model directions on controlled inputs: more rainfall should not mysteriously reduce reference runoff; larger tank should not worsen usable yield solely due to implementation bugs.</w:t>
      </w:r>
    </w:p>
    <w:p>
      <w:pPr>
        <w:pStyle w:val="ListBullet"/>
      </w:pPr>
      <w:r>
        <w:t>Compare physical and objective metrics independently; plot any trade-off instead of interpreting one weighted number as objective truth.</w:t>
      </w:r>
    </w:p>
    <w:p>
      <w:pPr>
        <w:pStyle w:val="ListBullet"/>
      </w:pPr>
      <w:r>
        <w:t>Clearly separate sensitivity bands from calibrated probabilistic prediction intervals.</w:t>
      </w:r>
    </w:p>
    <w:p>
      <w:pPr>
        <w:pStyle w:val="Heading2"/>
      </w:pPr>
      <w:r>
        <w:t>13.3 Acceptance status vocabulary</w:t>
      </w:r>
    </w:p>
    <w:p>
      <w:r>
        <w:t>Each capability is marked PASS / PASS WITH DISCLOSED LIMITATION / BLOCKED. No fabricated 100%-complete status. Any blocked P0 item is a release concern and requires a fallback plan.</w:t>
      </w:r>
    </w:p>
    <w:p>
      <w:pPr>
        <w:pStyle w:val="Heading2"/>
      </w:pPr>
      <w:r>
        <w:t>13.4 Numerical unit-test fixtures with expected answers</w:t>
      </w:r>
    </w:p>
    <w:tbl>
      <w:tblPr>
        <w:tblW w:type="auto" w:w="0"/>
        <w:jc w:val="center"/>
        <w:tblLayout w:type="fixed"/>
        <w:tblLook w:firstColumn="1" w:firstRow="1" w:lastColumn="0" w:lastRow="0" w:noHBand="0" w:noVBand="1" w:val="04A0"/>
      </w:tblPr>
      <w:tblGrid>
        <w:gridCol w:w="1627"/>
        <w:gridCol w:w="4190"/>
        <w:gridCol w:w="4003"/>
      </w:tblGrid>
      <w:tr>
        <w:trPr>
          <w:tblHeader w:val="true"/>
          <w:cantSplit/>
        </w:trPr>
        <w:tc>
          <w:tcPr>
            <w:tcW w:type="dxa" w:w="1627"/>
            <w:shd w:fill="143A49"/>
            <w:tcMar>
              <w:top w:w="85" w:type="dxa"/>
              <w:start w:w="85" w:type="dxa"/>
              <w:bottom w:w="85" w:type="dxa"/>
              <w:end w:w="85" w:type="dxa"/>
            </w:tcMar>
          </w:tcPr>
          <w:p>
            <w:pPr>
              <w:spacing w:after="0"/>
            </w:pPr>
            <w:r>
              <w:rPr>
                <w:rFonts w:ascii="Lato" w:hAnsi="Lato"/>
                <w:b/>
                <w:color w:val="FFFFFF"/>
                <w:sz w:val="14"/>
              </w:rPr>
              <w:t>Fixture</w:t>
            </w:r>
          </w:p>
        </w:tc>
        <w:tc>
          <w:tcPr>
            <w:tcW w:type="dxa" w:w="4190"/>
            <w:shd w:fill="143A49"/>
            <w:tcMar>
              <w:top w:w="85" w:type="dxa"/>
              <w:start w:w="85" w:type="dxa"/>
              <w:bottom w:w="85" w:type="dxa"/>
              <w:end w:w="85" w:type="dxa"/>
            </w:tcMar>
          </w:tcPr>
          <w:p>
            <w:pPr>
              <w:spacing w:after="0"/>
            </w:pPr>
            <w:r>
              <w:rPr>
                <w:rFonts w:ascii="Lato" w:hAnsi="Lato"/>
                <w:b/>
                <w:color w:val="FFFFFF"/>
                <w:sz w:val="14"/>
              </w:rPr>
              <w:t>Input</w:t>
            </w:r>
          </w:p>
        </w:tc>
        <w:tc>
          <w:tcPr>
            <w:tcW w:type="dxa" w:w="4003"/>
            <w:shd w:fill="143A49"/>
            <w:tcMar>
              <w:top w:w="85" w:type="dxa"/>
              <w:start w:w="85" w:type="dxa"/>
              <w:bottom w:w="85" w:type="dxa"/>
              <w:end w:w="85" w:type="dxa"/>
            </w:tcMar>
          </w:tcPr>
          <w:p>
            <w:pPr>
              <w:spacing w:after="0"/>
            </w:pPr>
            <w:r>
              <w:rPr>
                <w:rFonts w:ascii="Lato" w:hAnsi="Lato"/>
                <w:b/>
                <w:color w:val="FFFFFF"/>
                <w:sz w:val="14"/>
              </w:rPr>
              <w:t>Expected output / assertion</w:t>
            </w:r>
          </w:p>
        </w:tc>
      </w:tr>
      <w:tr>
        <w:trPr>
          <w:cantSplit/>
        </w:trPr>
        <w:tc>
          <w:tcPr>
            <w:tcW w:type="dxa" w:w="1627"/>
            <w:vAlign w:val="center"/>
            <w:tcMar>
              <w:top w:w="65" w:type="dxa"/>
              <w:start w:w="75" w:type="dxa"/>
              <w:bottom w:w="65" w:type="dxa"/>
              <w:end w:w="75" w:type="dxa"/>
            </w:tcMar>
          </w:tcPr>
          <w:p>
            <w:pPr>
              <w:spacing w:after="0" w:line="259" w:lineRule="auto"/>
            </w:pPr>
            <w:r>
              <w:rPr>
                <w:rFonts w:ascii="Lato" w:hAnsi="Lato"/>
                <w:color w:val="202D33"/>
                <w:sz w:val="14"/>
              </w:rPr>
              <w:t>Peak runoff</w:t>
            </w:r>
          </w:p>
        </w:tc>
        <w:tc>
          <w:tcPr>
            <w:tcW w:type="dxa" w:w="4190"/>
            <w:vAlign w:val="center"/>
            <w:tcMar>
              <w:top w:w="65" w:type="dxa"/>
              <w:start w:w="75" w:type="dxa"/>
              <w:bottom w:w="65" w:type="dxa"/>
              <w:end w:w="75" w:type="dxa"/>
            </w:tcMar>
          </w:tcPr>
          <w:p>
            <w:pPr>
              <w:spacing w:after="0" w:line="259" w:lineRule="auto"/>
            </w:pPr>
            <w:r>
              <w:rPr>
                <w:rFonts w:ascii="Lato" w:hAnsi="Lato"/>
                <w:color w:val="202D33"/>
                <w:sz w:val="14"/>
              </w:rPr>
              <w:t>C=0.70; I=50 mm/h; area=10 ha.</w:t>
            </w:r>
          </w:p>
        </w:tc>
        <w:tc>
          <w:tcPr>
            <w:tcW w:type="dxa" w:w="4003"/>
            <w:vAlign w:val="center"/>
            <w:tcMar>
              <w:top w:w="65" w:type="dxa"/>
              <w:start w:w="75" w:type="dxa"/>
              <w:bottom w:w="65" w:type="dxa"/>
              <w:end w:w="75" w:type="dxa"/>
            </w:tcMar>
          </w:tcPr>
          <w:p>
            <w:pPr>
              <w:spacing w:after="0" w:line="259" w:lineRule="auto"/>
            </w:pPr>
            <w:r>
              <w:rPr>
                <w:rFonts w:ascii="Lato" w:hAnsi="Lato"/>
                <w:color w:val="202D33"/>
                <w:sz w:val="14"/>
              </w:rPr>
              <w:t>Q=0.00278×0.70×50×10 = 0.973 m3/s.</w:t>
            </w:r>
          </w:p>
        </w:tc>
      </w:tr>
      <w:tr>
        <w:trPr>
          <w:cantSplit/>
        </w:trPr>
        <w:tc>
          <w:tcPr>
            <w:tcW w:type="dxa" w:w="1627"/>
            <w:vAlign w:val="center"/>
            <w:tcMar>
              <w:top w:w="65" w:type="dxa"/>
              <w:start w:w="75" w:type="dxa"/>
              <w:bottom w:w="65" w:type="dxa"/>
              <w:end w:w="75" w:type="dxa"/>
            </w:tcMar>
            <w:shd w:fill="F0F5F5"/>
          </w:tcPr>
          <w:p>
            <w:pPr>
              <w:spacing w:after="0" w:line="259" w:lineRule="auto"/>
            </w:pPr>
            <w:r>
              <w:rPr>
                <w:rFonts w:ascii="Lato" w:hAnsi="Lato"/>
                <w:color w:val="202D33"/>
                <w:sz w:val="14"/>
              </w:rPr>
              <w:t>Drainage versus generation</w:t>
            </w:r>
          </w:p>
        </w:tc>
        <w:tc>
          <w:tcPr>
            <w:tcW w:type="dxa" w:w="4190"/>
            <w:vAlign w:val="center"/>
            <w:tcMar>
              <w:top w:w="65" w:type="dxa"/>
              <w:start w:w="75" w:type="dxa"/>
              <w:bottom w:w="65" w:type="dxa"/>
              <w:end w:w="75" w:type="dxa"/>
            </w:tcMar>
            <w:shd w:fill="F0F5F5"/>
          </w:tcPr>
          <w:p>
            <w:pPr>
              <w:spacing w:after="0" w:line="259" w:lineRule="auto"/>
            </w:pPr>
            <w:r>
              <w:rPr>
                <w:rFonts w:ascii="Lato" w:hAnsi="Lato"/>
                <w:color w:val="202D33"/>
                <w:sz w:val="14"/>
              </w:rPr>
              <w:t>Above flow 0.973; capacity initially 0.80 then 1.05 m3/s.</w:t>
            </w:r>
          </w:p>
        </w:tc>
        <w:tc>
          <w:tcPr>
            <w:tcW w:type="dxa" w:w="4003"/>
            <w:vAlign w:val="center"/>
            <w:tcMar>
              <w:top w:w="65" w:type="dxa"/>
              <w:start w:w="75" w:type="dxa"/>
              <w:bottom w:w="65" w:type="dxa"/>
              <w:end w:w="75" w:type="dxa"/>
            </w:tcMar>
            <w:shd w:fill="F0F5F5"/>
          </w:tcPr>
          <w:p>
            <w:pPr>
              <w:spacing w:after="0" w:line="259" w:lineRule="auto"/>
            </w:pPr>
            <w:r>
              <w:rPr>
                <w:rFonts w:ascii="Lato" w:hAnsi="Lato"/>
                <w:color w:val="202D33"/>
                <w:sz w:val="14"/>
              </w:rPr>
              <w:t>Runoff remains 0.973; exceedance goes from 0.173 to 0 m3/s.</w:t>
            </w:r>
          </w:p>
        </w:tc>
      </w:tr>
      <w:tr>
        <w:trPr>
          <w:cantSplit/>
        </w:trPr>
        <w:tc>
          <w:tcPr>
            <w:tcW w:type="dxa" w:w="1627"/>
            <w:vAlign w:val="center"/>
            <w:tcMar>
              <w:top w:w="65" w:type="dxa"/>
              <w:start w:w="75" w:type="dxa"/>
              <w:bottom w:w="65" w:type="dxa"/>
              <w:end w:w="75" w:type="dxa"/>
            </w:tcMar>
          </w:tcPr>
          <w:p>
            <w:pPr>
              <w:spacing w:after="0" w:line="259" w:lineRule="auto"/>
            </w:pPr>
            <w:r>
              <w:rPr>
                <w:rFonts w:ascii="Lato" w:hAnsi="Lato"/>
                <w:color w:val="202D33"/>
                <w:sz w:val="14"/>
              </w:rPr>
              <w:t>Rainwater tank 3 periods</w:t>
            </w:r>
          </w:p>
        </w:tc>
        <w:tc>
          <w:tcPr>
            <w:tcW w:type="dxa" w:w="4190"/>
            <w:vAlign w:val="center"/>
            <w:tcMar>
              <w:top w:w="65" w:type="dxa"/>
              <w:start w:w="75" w:type="dxa"/>
              <w:bottom w:w="65" w:type="dxa"/>
              <w:end w:w="75" w:type="dxa"/>
            </w:tcMar>
          </w:tcPr>
          <w:p>
            <w:pPr>
              <w:spacing w:after="0" w:line="259" w:lineRule="auto"/>
            </w:pPr>
            <w:r>
              <w:rPr>
                <w:rFonts w:ascii="Lato" w:hAnsi="Lato"/>
                <w:color w:val="202D33"/>
                <w:sz w:val="14"/>
              </w:rPr>
              <w:t>K=10 m3; S0=0; inflows=[8,8,0]; demands=[5,5,5] m3.</w:t>
            </w:r>
          </w:p>
        </w:tc>
        <w:tc>
          <w:tcPr>
            <w:tcW w:type="dxa" w:w="4003"/>
            <w:vAlign w:val="center"/>
            <w:tcMar>
              <w:top w:w="65" w:type="dxa"/>
              <w:start w:w="75" w:type="dxa"/>
              <w:bottom w:w="65" w:type="dxa"/>
              <w:end w:w="75" w:type="dxa"/>
            </w:tcMar>
          </w:tcPr>
          <w:p>
            <w:pPr>
              <w:spacing w:after="0" w:line="259" w:lineRule="auto"/>
            </w:pPr>
            <w:r>
              <w:rPr>
                <w:rFonts w:ascii="Lato" w:hAnsi="Lato"/>
                <w:color w:val="202D33"/>
                <w:sz w:val="14"/>
              </w:rPr>
              <w:t>Served=[5,5,5]; end storage=[3,5,0]; spill=[0,1,0]; total served=15 m3 &gt; tank K.</w:t>
            </w:r>
          </w:p>
        </w:tc>
      </w:tr>
      <w:tr>
        <w:trPr>
          <w:cantSplit/>
        </w:trPr>
        <w:tc>
          <w:tcPr>
            <w:tcW w:type="dxa" w:w="1627"/>
            <w:vAlign w:val="center"/>
            <w:tcMar>
              <w:top w:w="65" w:type="dxa"/>
              <w:start w:w="75" w:type="dxa"/>
              <w:bottom w:w="65" w:type="dxa"/>
              <w:end w:w="75" w:type="dxa"/>
            </w:tcMar>
            <w:shd w:fill="F0F5F5"/>
          </w:tcPr>
          <w:p>
            <w:pPr>
              <w:spacing w:after="0" w:line="259" w:lineRule="auto"/>
            </w:pPr>
            <w:r>
              <w:rPr>
                <w:rFonts w:ascii="Lato" w:hAnsi="Lato"/>
                <w:color w:val="202D33"/>
                <w:sz w:val="14"/>
              </w:rPr>
              <w:t>Tiny binary optimiser</w:t>
            </w:r>
          </w:p>
        </w:tc>
        <w:tc>
          <w:tcPr>
            <w:tcW w:type="dxa" w:w="4190"/>
            <w:vAlign w:val="center"/>
            <w:tcMar>
              <w:top w:w="65" w:type="dxa"/>
              <w:start w:w="75" w:type="dxa"/>
              <w:bottom w:w="65" w:type="dxa"/>
              <w:end w:w="75" w:type="dxa"/>
            </w:tcMar>
            <w:shd w:fill="F0F5F5"/>
          </w:tcPr>
          <w:p>
            <w:pPr>
              <w:spacing w:after="0" w:line="259" w:lineRule="auto"/>
            </w:pPr>
            <w:r>
              <w:rPr>
                <w:rFonts w:ascii="Lato" w:hAnsi="Lato"/>
                <w:color w:val="202D33"/>
                <w:sz w:val="14"/>
              </w:rPr>
              <w:t>Project A cost4/benefit7; B cost5/benefit9; C cost3/benefit5; budget8. No additional constraints.</w:t>
            </w:r>
          </w:p>
        </w:tc>
        <w:tc>
          <w:tcPr>
            <w:tcW w:type="dxa" w:w="4003"/>
            <w:vAlign w:val="center"/>
            <w:tcMar>
              <w:top w:w="65" w:type="dxa"/>
              <w:start w:w="75" w:type="dxa"/>
              <w:bottom w:w="65" w:type="dxa"/>
              <w:end w:w="75" w:type="dxa"/>
            </w:tcMar>
            <w:shd w:fill="F0F5F5"/>
          </w:tcPr>
          <w:p>
            <w:pPr>
              <w:spacing w:after="0" w:line="259" w:lineRule="auto"/>
            </w:pPr>
            <w:r>
              <w:rPr>
                <w:rFonts w:ascii="Lato" w:hAnsi="Lato"/>
                <w:color w:val="202D33"/>
                <w:sz w:val="14"/>
              </w:rPr>
              <w:t>Choose B+C, cost8, benefit14. A+C yields12; A+B cost9 infeasible.</w:t>
            </w:r>
          </w:p>
        </w:tc>
      </w:tr>
      <w:tr>
        <w:trPr>
          <w:cantSplit/>
        </w:trPr>
        <w:tc>
          <w:tcPr>
            <w:tcW w:type="dxa" w:w="1627"/>
            <w:vAlign w:val="center"/>
            <w:tcMar>
              <w:top w:w="65" w:type="dxa"/>
              <w:start w:w="75" w:type="dxa"/>
              <w:bottom w:w="65" w:type="dxa"/>
              <w:end w:w="75" w:type="dxa"/>
            </w:tcMar>
          </w:tcPr>
          <w:p>
            <w:pPr>
              <w:spacing w:after="0" w:line="259" w:lineRule="auto"/>
            </w:pPr>
            <w:r>
              <w:rPr>
                <w:rFonts w:ascii="Lato" w:hAnsi="Lato"/>
                <w:color w:val="202D33"/>
                <w:sz w:val="14"/>
              </w:rPr>
              <w:t>Equity infeasibility</w:t>
            </w:r>
          </w:p>
        </w:tc>
        <w:tc>
          <w:tcPr>
            <w:tcW w:type="dxa" w:w="4190"/>
            <w:vAlign w:val="center"/>
            <w:tcMar>
              <w:top w:w="65" w:type="dxa"/>
              <w:start w:w="75" w:type="dxa"/>
              <w:bottom w:w="65" w:type="dxa"/>
              <w:end w:w="75" w:type="dxa"/>
            </w:tcMar>
          </w:tcPr>
          <w:p>
            <w:pPr>
              <w:spacing w:after="0" w:line="259" w:lineRule="auto"/>
            </w:pPr>
            <w:r>
              <w:rPr>
                <w:rFonts w:ascii="Lato" w:hAnsi="Lato"/>
                <w:color w:val="202D33"/>
                <w:sz w:val="14"/>
              </w:rPr>
              <w:t>Priority zone requires 10 units of benefit; all eligible candidates together provide at most 8.</w:t>
            </w:r>
          </w:p>
        </w:tc>
        <w:tc>
          <w:tcPr>
            <w:tcW w:type="dxa" w:w="4003"/>
            <w:vAlign w:val="center"/>
            <w:tcMar>
              <w:top w:w="65" w:type="dxa"/>
              <w:start w:w="75" w:type="dxa"/>
              <w:bottom w:w="65" w:type="dxa"/>
              <w:end w:w="75" w:type="dxa"/>
            </w:tcMar>
          </w:tcPr>
          <w:p>
            <w:pPr>
              <w:spacing w:after="0" w:line="259" w:lineRule="auto"/>
            </w:pPr>
            <w:r>
              <w:rPr>
                <w:rFonts w:ascii="Lato" w:hAnsi="Lato"/>
                <w:color w:val="202D33"/>
                <w:sz w:val="14"/>
              </w:rPr>
              <w:t>Return infeasible with binding reason; NEVER relax threshold silently.</w:t>
            </w:r>
          </w:p>
        </w:tc>
      </w:tr>
      <w:tr>
        <w:trPr>
          <w:cantSplit/>
        </w:trPr>
        <w:tc>
          <w:tcPr>
            <w:tcW w:type="dxa" w:w="1627"/>
            <w:vAlign w:val="center"/>
            <w:tcMar>
              <w:top w:w="65" w:type="dxa"/>
              <w:start w:w="75" w:type="dxa"/>
              <w:bottom w:w="65" w:type="dxa"/>
              <w:end w:w="75" w:type="dxa"/>
            </w:tcMar>
            <w:shd w:fill="F0F5F5"/>
          </w:tcPr>
          <w:p>
            <w:pPr>
              <w:spacing w:after="0" w:line="259" w:lineRule="auto"/>
            </w:pPr>
            <w:r>
              <w:rPr>
                <w:rFonts w:ascii="Lato" w:hAnsi="Lato"/>
                <w:color w:val="202D33"/>
                <w:sz w:val="14"/>
              </w:rPr>
              <w:t>Budget commitments</w:t>
            </w:r>
          </w:p>
        </w:tc>
        <w:tc>
          <w:tcPr>
            <w:tcW w:type="dxa" w:w="4190"/>
            <w:vAlign w:val="center"/>
            <w:tcMar>
              <w:top w:w="65" w:type="dxa"/>
              <w:start w:w="75" w:type="dxa"/>
              <w:bottom w:w="65" w:type="dxa"/>
              <w:end w:w="75" w:type="dxa"/>
            </w:tcMar>
            <w:shd w:fill="F0F5F5"/>
          </w:tcPr>
          <w:p>
            <w:pPr>
              <w:spacing w:after="0" w:line="259" w:lineRule="auto"/>
            </w:pPr>
            <w:r>
              <w:rPr>
                <w:rFonts w:ascii="Lato" w:hAnsi="Lato"/>
                <w:color w:val="202D33"/>
                <w:sz w:val="14"/>
              </w:rPr>
              <w:t>Revised total budget6; precommitted project costs5; option price2.</w:t>
            </w:r>
          </w:p>
        </w:tc>
        <w:tc>
          <w:tcPr>
            <w:tcW w:type="dxa" w:w="4003"/>
            <w:vAlign w:val="center"/>
            <w:tcMar>
              <w:top w:w="65" w:type="dxa"/>
              <w:start w:w="75" w:type="dxa"/>
              <w:bottom w:w="65" w:type="dxa"/>
              <w:end w:w="75" w:type="dxa"/>
            </w:tcMar>
            <w:shd w:fill="F0F5F5"/>
          </w:tcPr>
          <w:p>
            <w:pPr>
              <w:spacing w:after="0" w:line="259" w:lineRule="auto"/>
            </w:pPr>
            <w:r>
              <w:rPr>
                <w:rFonts w:ascii="Lato" w:hAnsi="Lato"/>
                <w:color w:val="202D33"/>
                <w:sz w:val="14"/>
              </w:rPr>
              <w:t>Remaining discretionary budget1, so new option cannot be added.</w:t>
            </w:r>
          </w:p>
        </w:tc>
      </w:tr>
      <w:tr>
        <w:trPr>
          <w:cantSplit/>
        </w:trPr>
        <w:tc>
          <w:tcPr>
            <w:tcW w:type="dxa" w:w="1627"/>
            <w:vAlign w:val="center"/>
            <w:tcMar>
              <w:top w:w="65" w:type="dxa"/>
              <w:start w:w="75" w:type="dxa"/>
              <w:bottom w:w="65" w:type="dxa"/>
              <w:end w:w="75" w:type="dxa"/>
            </w:tcMar>
          </w:tcPr>
          <w:p>
            <w:pPr>
              <w:spacing w:after="0" w:line="259" w:lineRule="auto"/>
            </w:pPr>
            <w:r>
              <w:rPr>
                <w:rFonts w:ascii="Lato" w:hAnsi="Lato"/>
                <w:color w:val="202D33"/>
                <w:sz w:val="14"/>
              </w:rPr>
              <w:t>Source gaps</w:t>
            </w:r>
          </w:p>
        </w:tc>
        <w:tc>
          <w:tcPr>
            <w:tcW w:type="dxa" w:w="4190"/>
            <w:vAlign w:val="center"/>
            <w:tcMar>
              <w:top w:w="65" w:type="dxa"/>
              <w:start w:w="75" w:type="dxa"/>
              <w:bottom w:w="65" w:type="dxa"/>
              <w:end w:w="75" w:type="dxa"/>
            </w:tcMar>
          </w:tcPr>
          <w:p>
            <w:pPr>
              <w:spacing w:after="0" w:line="259" w:lineRule="auto"/>
            </w:pPr>
            <w:r>
              <w:rPr>
                <w:rFonts w:ascii="Lato" w:hAnsi="Lato"/>
                <w:color w:val="202D33"/>
                <w:sz w:val="14"/>
              </w:rPr>
              <w:t>Intervention effect has no source or assumption label.</w:t>
            </w:r>
          </w:p>
        </w:tc>
        <w:tc>
          <w:tcPr>
            <w:tcW w:type="dxa" w:w="4003"/>
            <w:vAlign w:val="center"/>
            <w:tcMar>
              <w:top w:w="65" w:type="dxa"/>
              <w:start w:w="75" w:type="dxa"/>
              <w:bottom w:w="65" w:type="dxa"/>
              <w:end w:w="75" w:type="dxa"/>
            </w:tcMar>
          </w:tcPr>
          <w:p>
            <w:pPr>
              <w:spacing w:after="0" w:line="259" w:lineRule="auto"/>
            </w:pPr>
            <w:r>
              <w:rPr>
                <w:rFonts w:ascii="Lato" w:hAnsi="Lato"/>
                <w:color w:val="202D33"/>
                <w:sz w:val="14"/>
              </w:rPr>
              <w:t>Validation fails or marks coefficient unverified; no silent zero substitution.</w:t>
            </w:r>
          </w:p>
        </w:tc>
      </w:tr>
      <w:tr>
        <w:trPr>
          <w:cantSplit/>
        </w:trPr>
        <w:tc>
          <w:tcPr>
            <w:tcW w:type="dxa" w:w="1627"/>
            <w:vAlign w:val="center"/>
            <w:tcMar>
              <w:top w:w="65" w:type="dxa"/>
              <w:start w:w="75" w:type="dxa"/>
              <w:bottom w:w="65" w:type="dxa"/>
              <w:end w:w="75" w:type="dxa"/>
            </w:tcMar>
            <w:shd w:fill="F0F5F5"/>
          </w:tcPr>
          <w:p>
            <w:pPr>
              <w:spacing w:after="0" w:line="259" w:lineRule="auto"/>
            </w:pPr>
            <w:r>
              <w:rPr>
                <w:rFonts w:ascii="Lato" w:hAnsi="Lato"/>
                <w:color w:val="202D33"/>
                <w:sz w:val="14"/>
              </w:rPr>
              <w:t>Shock replay</w:t>
            </w:r>
          </w:p>
        </w:tc>
        <w:tc>
          <w:tcPr>
            <w:tcW w:type="dxa" w:w="4190"/>
            <w:vAlign w:val="center"/>
            <w:tcMar>
              <w:top w:w="65" w:type="dxa"/>
              <w:start w:w="75" w:type="dxa"/>
              <w:bottom w:w="65" w:type="dxa"/>
              <w:end w:w="75" w:type="dxa"/>
            </w:tcMar>
            <w:shd w:fill="F0F5F5"/>
          </w:tcPr>
          <w:p>
            <w:pPr>
              <w:spacing w:after="0" w:line="259" w:lineRule="auto"/>
            </w:pPr>
            <w:r>
              <w:rPr>
                <w:rFonts w:ascii="Lato" w:hAnsi="Lato"/>
                <w:color w:val="202D33"/>
                <w:sz w:val="14"/>
              </w:rPr>
              <w:t>Recalculate original x under rainfall shock, then optimise separately.</w:t>
            </w:r>
          </w:p>
        </w:tc>
        <w:tc>
          <w:tcPr>
            <w:tcW w:type="dxa" w:w="4003"/>
            <w:vAlign w:val="center"/>
            <w:tcMar>
              <w:top w:w="65" w:type="dxa"/>
              <w:start w:w="75" w:type="dxa"/>
              <w:bottom w:w="65" w:type="dxa"/>
              <w:end w:w="75" w:type="dxa"/>
            </w:tcMar>
            <w:shd w:fill="F0F5F5"/>
          </w:tcPr>
          <w:p>
            <w:pPr>
              <w:spacing w:after="0" w:line="259" w:lineRule="auto"/>
            </w:pPr>
            <w:r>
              <w:rPr>
                <w:rFonts w:ascii="Lato" w:hAnsi="Lato"/>
                <w:color w:val="202D33"/>
                <w:sz w:val="14"/>
              </w:rPr>
              <w:t>Frozen original project counts unchanged in old-plan test; new run IDs distinct.</w:t>
            </w:r>
          </w:p>
        </w:tc>
      </w:tr>
    </w:tbl>
    <w:p>
      <w:pPr>
        <w:spacing w:after="40"/>
      </w:pPr>
    </w:p>
    <w:p>
      <w:pPr>
        <w:pStyle w:val="Heading2"/>
      </w:pPr>
      <w:r>
        <w:t>13.5 Evidence and scientific integrity gates</w:t>
      </w:r>
    </w:p>
    <w:p>
      <w:pPr>
        <w:pStyle w:val="ListBullet"/>
      </w:pPr>
      <w:r>
        <w:t>Each physical submodel has at least one known-answer fixture and a conservation/boundary assertion; tests distinguish physical amount from proxy index.</w:t>
      </w:r>
    </w:p>
    <w:p>
      <w:pPr>
        <w:pStyle w:val="ListBullet"/>
      </w:pPr>
      <w:r>
        <w:t>Each named shock creates a new run with parameter overrides and affected coefficients; identical inputs reproduce identical numeric results (subject to solver tolerances).</w:t>
      </w:r>
    </w:p>
    <w:p>
      <w:pPr>
        <w:pStyle w:val="ListBullet"/>
      </w:pPr>
      <w:r>
        <w:t>Solver optimum is verified by a brute-force oracle in the tiny fixture; larger runs report solver status, gap (if available), and runtime.</w:t>
      </w:r>
    </w:p>
    <w:p>
      <w:pPr>
        <w:pStyle w:val="ListBullet"/>
      </w:pPr>
      <w:r>
        <w:t>Decision reports cite sources for input facts and mark synthetic data visibly, including in screenshots and exports.</w:t>
      </w:r>
    </w:p>
    <w:p>
      <w:pPr>
        <w:pStyle w:val="ListBullet"/>
      </w:pPr>
      <w:r>
        <w:t>One model integration test checks intervention overlap and rejects double counting for a shared roof polygon.</w:t>
      </w:r>
    </w:p>
    <w:p>
      <w:pPr>
        <w:pStyle w:val="ListBullet"/>
      </w:pPr>
      <w:r>
        <w:t>Carbon claims require documented factor and time horizon; absent sources produce “not estimated,” not a fake zero.</w:t>
      </w:r>
    </w:p>
    <w:p>
      <w:pPr>
        <w:pStyle w:val="ListBullet"/>
      </w:pPr>
      <w:r>
        <w:t>Production deployment and all AWS service usage remain out of scope until P0 acceptance is verified.</w:t>
      </w:r>
    </w:p>
    <w:p>
      <w:pPr>
        <w:pStyle w:val="Heading1"/>
      </w:pPr>
      <w:r>
        <w:t>14. Presentation and judge-proof demonstration</w:t>
      </w:r>
    </w:p>
    <w:p>
      <w:pPr>
        <w:pStyle w:val="Heading2"/>
      </w:pPr>
      <w:r>
        <w:t>14.1 Three-minute script</w:t>
      </w:r>
    </w:p>
    <w:tbl>
      <w:tblPr>
        <w:tblW w:type="auto" w:w="0"/>
        <w:jc w:val="center"/>
        <w:tblLayout w:type="fixed"/>
        <w:tblLook w:firstColumn="1" w:firstRow="1" w:lastColumn="0" w:lastRow="0" w:noHBand="0" w:noVBand="1" w:val="04A0"/>
      </w:tblPr>
      <w:tblGrid>
        <w:gridCol w:w="1944"/>
        <w:gridCol w:w="4061"/>
        <w:gridCol w:w="3816"/>
      </w:tblGrid>
      <w:tr>
        <w:trPr>
          <w:tblHeader w:val="true"/>
          <w:cantSplit/>
        </w:trPr>
        <w:tc>
          <w:tcPr>
            <w:tcW w:type="dxa" w:w="1944"/>
            <w:shd w:fill="143A49"/>
            <w:tcMar>
              <w:top w:w="85" w:type="dxa"/>
              <w:start w:w="85" w:type="dxa"/>
              <w:bottom w:w="85" w:type="dxa"/>
              <w:end w:w="85" w:type="dxa"/>
            </w:tcMar>
          </w:tcPr>
          <w:p>
            <w:pPr>
              <w:spacing w:after="0"/>
            </w:pPr>
            <w:r>
              <w:rPr>
                <w:rFonts w:ascii="Lato" w:hAnsi="Lato"/>
                <w:b/>
                <w:color w:val="FFFFFF"/>
                <w:sz w:val="15"/>
              </w:rPr>
              <w:t>Segment</w:t>
            </w:r>
          </w:p>
        </w:tc>
        <w:tc>
          <w:tcPr>
            <w:tcW w:type="dxa" w:w="4061"/>
            <w:shd w:fill="143A49"/>
            <w:tcMar>
              <w:top w:w="85" w:type="dxa"/>
              <w:start w:w="85" w:type="dxa"/>
              <w:bottom w:w="85" w:type="dxa"/>
              <w:end w:w="85" w:type="dxa"/>
            </w:tcMar>
          </w:tcPr>
          <w:p>
            <w:pPr>
              <w:spacing w:after="0"/>
            </w:pPr>
            <w:r>
              <w:rPr>
                <w:rFonts w:ascii="Lato" w:hAnsi="Lato"/>
                <w:b/>
                <w:color w:val="FFFFFF"/>
                <w:sz w:val="15"/>
              </w:rPr>
              <w:t>Action</w:t>
            </w:r>
          </w:p>
        </w:tc>
        <w:tc>
          <w:tcPr>
            <w:tcW w:type="dxa" w:w="3816"/>
            <w:shd w:fill="143A49"/>
            <w:tcMar>
              <w:top w:w="85" w:type="dxa"/>
              <w:start w:w="85" w:type="dxa"/>
              <w:bottom w:w="85" w:type="dxa"/>
              <w:end w:w="85" w:type="dxa"/>
            </w:tcMar>
          </w:tcPr>
          <w:p>
            <w:pPr>
              <w:spacing w:after="0"/>
            </w:pPr>
            <w:r>
              <w:rPr>
                <w:rFonts w:ascii="Lato" w:hAnsi="Lato"/>
                <w:b/>
                <w:color w:val="FFFFFF"/>
                <w:sz w:val="15"/>
              </w:rPr>
              <w:t>Proof shown</w:t>
            </w:r>
          </w:p>
        </w:tc>
      </w:tr>
      <w:tr>
        <w:trPr>
          <w:cantSplit/>
        </w:trPr>
        <w:tc>
          <w:tcPr>
            <w:tcW w:type="dxa" w:w="1944"/>
            <w:vAlign w:val="center"/>
            <w:tcMar>
              <w:top w:w="65" w:type="dxa"/>
              <w:start w:w="75" w:type="dxa"/>
              <w:bottom w:w="65" w:type="dxa"/>
              <w:end w:w="75" w:type="dxa"/>
            </w:tcMar>
          </w:tcPr>
          <w:p>
            <w:pPr>
              <w:spacing w:after="0" w:line="259" w:lineRule="auto"/>
            </w:pPr>
            <w:r>
              <w:rPr>
                <w:rFonts w:ascii="Lato" w:hAnsi="Lato"/>
                <w:color w:val="202D33"/>
                <w:sz w:val="15"/>
              </w:rPr>
              <w:t>0:00–0:25 | Problem</w:t>
            </w:r>
          </w:p>
        </w:tc>
        <w:tc>
          <w:tcPr>
            <w:tcW w:type="dxa" w:w="4061"/>
            <w:vAlign w:val="center"/>
            <w:tcMar>
              <w:top w:w="65" w:type="dxa"/>
              <w:start w:w="75" w:type="dxa"/>
              <w:bottom w:w="65" w:type="dxa"/>
              <w:end w:w="75" w:type="dxa"/>
            </w:tcMar>
          </w:tcPr>
          <w:p>
            <w:pPr>
              <w:spacing w:after="0" w:line="259" w:lineRule="auto"/>
            </w:pPr>
            <w:r>
              <w:rPr>
                <w:rFonts w:ascii="Lato" w:hAnsi="Lato"/>
                <w:color w:val="202D33"/>
                <w:sz w:val="15"/>
              </w:rPr>
              <w:t>Select pilot area; show contrasting flood, heat, water and equity exposure.</w:t>
            </w:r>
          </w:p>
        </w:tc>
        <w:tc>
          <w:tcPr>
            <w:tcW w:type="dxa" w:w="3816"/>
            <w:vAlign w:val="center"/>
            <w:tcMar>
              <w:top w:w="65" w:type="dxa"/>
              <w:start w:w="75" w:type="dxa"/>
              <w:bottom w:w="65" w:type="dxa"/>
              <w:end w:w="75" w:type="dxa"/>
            </w:tcMar>
          </w:tcPr>
          <w:p>
            <w:pPr>
              <w:spacing w:after="0" w:line="259" w:lineRule="auto"/>
            </w:pPr>
            <w:r>
              <w:rPr>
                <w:rFonts w:ascii="Lato" w:hAnsi="Lato"/>
                <w:color w:val="202D33"/>
                <w:sz w:val="15"/>
              </w:rPr>
              <w:t>Local context + sourced baseline.</w:t>
            </w:r>
          </w:p>
        </w:tc>
      </w:tr>
      <w:tr>
        <w:trPr>
          <w:cantSplit/>
        </w:trPr>
        <w:tc>
          <w:tcPr>
            <w:tcW w:type="dxa" w:w="1944"/>
            <w:vAlign w:val="center"/>
            <w:tcMar>
              <w:top w:w="65" w:type="dxa"/>
              <w:start w:w="75" w:type="dxa"/>
              <w:bottom w:w="65" w:type="dxa"/>
              <w:end w:w="75" w:type="dxa"/>
            </w:tcMar>
            <w:shd w:fill="F0F5F5"/>
          </w:tcPr>
          <w:p>
            <w:pPr>
              <w:spacing w:after="0" w:line="259" w:lineRule="auto"/>
            </w:pPr>
            <w:r>
              <w:rPr>
                <w:rFonts w:ascii="Lato" w:hAnsi="Lato"/>
                <w:color w:val="202D33"/>
                <w:sz w:val="15"/>
              </w:rPr>
              <w:t>0:25–1:05 | Decide</w:t>
            </w:r>
          </w:p>
        </w:tc>
        <w:tc>
          <w:tcPr>
            <w:tcW w:type="dxa" w:w="4061"/>
            <w:vAlign w:val="center"/>
            <w:tcMar>
              <w:top w:w="65" w:type="dxa"/>
              <w:start w:w="75" w:type="dxa"/>
              <w:bottom w:w="65" w:type="dxa"/>
              <w:end w:w="75" w:type="dxa"/>
            </w:tcMar>
            <w:shd w:fill="F0F5F5"/>
          </w:tcPr>
          <w:p>
            <w:pPr>
              <w:spacing w:after="0" w:line="259" w:lineRule="auto"/>
            </w:pPr>
            <w:r>
              <w:rPr>
                <w:rFonts w:ascii="Lato" w:hAnsi="Lato"/>
                <w:color w:val="202D33"/>
                <w:sz w:val="15"/>
              </w:rPr>
              <w:t>Enter illustrative budget (e.g., INR 10 crore) and choose Balanced mode; run optimiser.</w:t>
            </w:r>
          </w:p>
        </w:tc>
        <w:tc>
          <w:tcPr>
            <w:tcW w:type="dxa" w:w="3816"/>
            <w:vAlign w:val="center"/>
            <w:tcMar>
              <w:top w:w="65" w:type="dxa"/>
              <w:start w:w="75" w:type="dxa"/>
              <w:bottom w:w="65" w:type="dxa"/>
              <w:end w:w="75" w:type="dxa"/>
            </w:tcMar>
            <w:shd w:fill="F0F5F5"/>
          </w:tcPr>
          <w:p>
            <w:pPr>
              <w:spacing w:after="0" w:line="259" w:lineRule="auto"/>
            </w:pPr>
            <w:r>
              <w:rPr>
                <w:rFonts w:ascii="Lato" w:hAnsi="Lato"/>
                <w:color w:val="202D33"/>
                <w:sz w:val="15"/>
              </w:rPr>
              <w:t>Chosen projects, feasible costs, constraint status and zone benefits.</w:t>
            </w:r>
          </w:p>
        </w:tc>
      </w:tr>
      <w:tr>
        <w:trPr>
          <w:cantSplit/>
        </w:trPr>
        <w:tc>
          <w:tcPr>
            <w:tcW w:type="dxa" w:w="1944"/>
            <w:vAlign w:val="center"/>
            <w:tcMar>
              <w:top w:w="65" w:type="dxa"/>
              <w:start w:w="75" w:type="dxa"/>
              <w:bottom w:w="65" w:type="dxa"/>
              <w:end w:w="75" w:type="dxa"/>
            </w:tcMar>
          </w:tcPr>
          <w:p>
            <w:pPr>
              <w:spacing w:after="0" w:line="259" w:lineRule="auto"/>
            </w:pPr>
            <w:r>
              <w:rPr>
                <w:rFonts w:ascii="Lato" w:hAnsi="Lato"/>
                <w:color w:val="202D33"/>
                <w:sz w:val="15"/>
              </w:rPr>
              <w:t>1:05–1:45 | Compare</w:t>
            </w:r>
          </w:p>
        </w:tc>
        <w:tc>
          <w:tcPr>
            <w:tcW w:type="dxa" w:w="4061"/>
            <w:vAlign w:val="center"/>
            <w:tcMar>
              <w:top w:w="65" w:type="dxa"/>
              <w:start w:w="75" w:type="dxa"/>
              <w:bottom w:w="65" w:type="dxa"/>
              <w:end w:w="75" w:type="dxa"/>
            </w:tcMar>
          </w:tcPr>
          <w:p>
            <w:pPr>
              <w:spacing w:after="0" w:line="259" w:lineRule="auto"/>
            </w:pPr>
            <w:r>
              <w:rPr>
                <w:rFonts w:ascii="Lato" w:hAnsi="Lato"/>
                <w:color w:val="202D33"/>
                <w:sz w:val="15"/>
              </w:rPr>
              <w:t>Compare no-investment and feasible equal-allocation plans.</w:t>
            </w:r>
          </w:p>
        </w:tc>
        <w:tc>
          <w:tcPr>
            <w:tcW w:type="dxa" w:w="3816"/>
            <w:vAlign w:val="center"/>
            <w:tcMar>
              <w:top w:w="65" w:type="dxa"/>
              <w:start w:w="75" w:type="dxa"/>
              <w:bottom w:w="65" w:type="dxa"/>
              <w:end w:w="75" w:type="dxa"/>
            </w:tcMar>
          </w:tcPr>
          <w:p>
            <w:pPr>
              <w:spacing w:after="0" w:line="259" w:lineRule="auto"/>
            </w:pPr>
            <w:r>
              <w:rPr>
                <w:rFonts w:ascii="Lato" w:hAnsi="Lato"/>
                <w:color w:val="202D33"/>
                <w:sz w:val="15"/>
              </w:rPr>
              <w:t>Computed improvement for chosen objective plus honest trade-offs.</w:t>
            </w:r>
          </w:p>
        </w:tc>
      </w:tr>
      <w:tr>
        <w:trPr>
          <w:cantSplit/>
        </w:trPr>
        <w:tc>
          <w:tcPr>
            <w:tcW w:type="dxa" w:w="1944"/>
            <w:vAlign w:val="center"/>
            <w:tcMar>
              <w:top w:w="65" w:type="dxa"/>
              <w:start w:w="75" w:type="dxa"/>
              <w:bottom w:w="65" w:type="dxa"/>
              <w:end w:w="75" w:type="dxa"/>
            </w:tcMar>
            <w:shd w:fill="F0F5F5"/>
          </w:tcPr>
          <w:p>
            <w:pPr>
              <w:spacing w:after="0" w:line="259" w:lineRule="auto"/>
            </w:pPr>
            <w:r>
              <w:rPr>
                <w:rFonts w:ascii="Lato" w:hAnsi="Lato"/>
                <w:color w:val="202D33"/>
                <w:sz w:val="15"/>
              </w:rPr>
              <w:t>1:45–2:20 | Shock</w:t>
            </w:r>
          </w:p>
        </w:tc>
        <w:tc>
          <w:tcPr>
            <w:tcW w:type="dxa" w:w="4061"/>
            <w:vAlign w:val="center"/>
            <w:tcMar>
              <w:top w:w="65" w:type="dxa"/>
              <w:start w:w="75" w:type="dxa"/>
              <w:bottom w:w="65" w:type="dxa"/>
              <w:end w:w="75" w:type="dxa"/>
            </w:tcMar>
            <w:shd w:fill="F0F5F5"/>
          </w:tcPr>
          <w:p>
            <w:pPr>
              <w:spacing w:after="0" w:line="259" w:lineRule="auto"/>
            </w:pPr>
            <w:r>
              <w:rPr>
                <w:rFonts w:ascii="Lato" w:hAnsi="Lato"/>
                <w:color w:val="202D33"/>
                <w:sz w:val="15"/>
              </w:rPr>
              <w:t>Trigger heavy rain or budget cut; test old plan and reoptimise.</w:t>
            </w:r>
          </w:p>
        </w:tc>
        <w:tc>
          <w:tcPr>
            <w:tcW w:type="dxa" w:w="3816"/>
            <w:vAlign w:val="center"/>
            <w:tcMar>
              <w:top w:w="65" w:type="dxa"/>
              <w:start w:w="75" w:type="dxa"/>
              <w:bottom w:w="65" w:type="dxa"/>
              <w:end w:w="75" w:type="dxa"/>
            </w:tcMar>
            <w:shd w:fill="F0F5F5"/>
          </w:tcPr>
          <w:p>
            <w:pPr>
              <w:spacing w:after="0" w:line="259" w:lineRule="auto"/>
            </w:pPr>
            <w:r>
              <w:rPr>
                <w:rFonts w:ascii="Lato" w:hAnsi="Lato"/>
                <w:color w:val="202D33"/>
                <w:sz w:val="15"/>
              </w:rPr>
              <w:t>Change in feasibility, intervention mix and beneficiaries.</w:t>
            </w:r>
          </w:p>
        </w:tc>
      </w:tr>
      <w:tr>
        <w:trPr>
          <w:cantSplit/>
        </w:trPr>
        <w:tc>
          <w:tcPr>
            <w:tcW w:type="dxa" w:w="1944"/>
            <w:vAlign w:val="center"/>
            <w:tcMar>
              <w:top w:w="65" w:type="dxa"/>
              <w:start w:w="75" w:type="dxa"/>
              <w:bottom w:w="65" w:type="dxa"/>
              <w:end w:w="75" w:type="dxa"/>
            </w:tcMar>
          </w:tcPr>
          <w:p>
            <w:pPr>
              <w:spacing w:after="0" w:line="259" w:lineRule="auto"/>
            </w:pPr>
            <w:r>
              <w:rPr>
                <w:rFonts w:ascii="Lato" w:hAnsi="Lato"/>
                <w:color w:val="202D33"/>
                <w:sz w:val="15"/>
              </w:rPr>
              <w:t>2:20–2:45 | Explain</w:t>
            </w:r>
          </w:p>
        </w:tc>
        <w:tc>
          <w:tcPr>
            <w:tcW w:type="dxa" w:w="4061"/>
            <w:vAlign w:val="center"/>
            <w:tcMar>
              <w:top w:w="65" w:type="dxa"/>
              <w:start w:w="75" w:type="dxa"/>
              <w:bottom w:w="65" w:type="dxa"/>
              <w:end w:w="75" w:type="dxa"/>
            </w:tcMar>
          </w:tcPr>
          <w:p>
            <w:pPr>
              <w:spacing w:after="0" w:line="259" w:lineRule="auto"/>
            </w:pPr>
            <w:r>
              <w:rPr>
                <w:rFonts w:ascii="Lato" w:hAnsi="Lato"/>
                <w:color w:val="202D33"/>
                <w:sz w:val="15"/>
              </w:rPr>
              <w:t>Open a selected project; inspect constraint, score component and evidence; optional Bedrock summary.</w:t>
            </w:r>
          </w:p>
        </w:tc>
        <w:tc>
          <w:tcPr>
            <w:tcW w:type="dxa" w:w="3816"/>
            <w:vAlign w:val="center"/>
            <w:tcMar>
              <w:top w:w="65" w:type="dxa"/>
              <w:start w:w="75" w:type="dxa"/>
              <w:bottom w:w="65" w:type="dxa"/>
              <w:end w:w="75" w:type="dxa"/>
            </w:tcMar>
          </w:tcPr>
          <w:p>
            <w:pPr>
              <w:spacing w:after="0" w:line="259" w:lineRule="auto"/>
            </w:pPr>
            <w:r>
              <w:rPr>
                <w:rFonts w:ascii="Lato" w:hAnsi="Lato"/>
                <w:color w:val="202D33"/>
                <w:sz w:val="15"/>
              </w:rPr>
              <w:t>Traceable explanation and limitations.</w:t>
            </w:r>
          </w:p>
        </w:tc>
      </w:tr>
      <w:tr>
        <w:trPr>
          <w:cantSplit/>
        </w:trPr>
        <w:tc>
          <w:tcPr>
            <w:tcW w:type="dxa" w:w="1944"/>
            <w:vAlign w:val="center"/>
            <w:tcMar>
              <w:top w:w="65" w:type="dxa"/>
              <w:start w:w="75" w:type="dxa"/>
              <w:bottom w:w="65" w:type="dxa"/>
              <w:end w:w="75" w:type="dxa"/>
            </w:tcMar>
            <w:shd w:fill="F0F5F5"/>
          </w:tcPr>
          <w:p>
            <w:pPr>
              <w:spacing w:after="0" w:line="259" w:lineRule="auto"/>
            </w:pPr>
            <w:r>
              <w:rPr>
                <w:rFonts w:ascii="Lato" w:hAnsi="Lato"/>
                <w:color w:val="202D33"/>
                <w:sz w:val="15"/>
              </w:rPr>
              <w:t>2:45–3:00 | Close</w:t>
            </w:r>
          </w:p>
        </w:tc>
        <w:tc>
          <w:tcPr>
            <w:tcW w:type="dxa" w:w="4061"/>
            <w:vAlign w:val="center"/>
            <w:tcMar>
              <w:top w:w="65" w:type="dxa"/>
              <w:start w:w="75" w:type="dxa"/>
              <w:bottom w:w="65" w:type="dxa"/>
              <w:end w:w="75" w:type="dxa"/>
            </w:tcMar>
            <w:shd w:fill="F0F5F5"/>
          </w:tcPr>
          <w:p>
            <w:pPr>
              <w:spacing w:after="0" w:line="259" w:lineRule="auto"/>
            </w:pPr>
            <w:r>
              <w:rPr>
                <w:rFonts w:ascii="Lato" w:hAnsi="Lato"/>
                <w:color w:val="202D33"/>
                <w:sz w:val="15"/>
              </w:rPr>
              <w:t>Show one saved run ID, provenance and test status.</w:t>
            </w:r>
          </w:p>
        </w:tc>
        <w:tc>
          <w:tcPr>
            <w:tcW w:type="dxa" w:w="3816"/>
            <w:vAlign w:val="center"/>
            <w:tcMar>
              <w:top w:w="65" w:type="dxa"/>
              <w:start w:w="75" w:type="dxa"/>
              <w:bottom w:w="65" w:type="dxa"/>
              <w:end w:w="75" w:type="dxa"/>
            </w:tcMar>
            <w:shd w:fill="F0F5F5"/>
          </w:tcPr>
          <w:p>
            <w:pPr>
              <w:spacing w:after="0" w:line="259" w:lineRule="auto"/>
            </w:pPr>
            <w:r>
              <w:rPr>
                <w:rFonts w:ascii="Lato" w:hAnsi="Lato"/>
                <w:color w:val="202D33"/>
                <w:sz w:val="15"/>
              </w:rPr>
              <w:t>Why C1V1C is actionable, reproducible and transparent.</w:t>
            </w:r>
          </w:p>
        </w:tc>
      </w:tr>
    </w:tbl>
    <w:p>
      <w:pPr>
        <w:spacing w:after="40"/>
      </w:pPr>
    </w:p>
    <w:p>
      <w:pPr>
        <w:pStyle w:val="Heading2"/>
      </w:pPr>
      <w:r>
        <w:t>14.2 Questions to rehearse</w:t>
      </w:r>
    </w:p>
    <w:p>
      <w:pPr>
        <w:pStyle w:val="ListBullet"/>
      </w:pPr>
      <w:r>
        <w:t>Where is the AI? — Constrained decision optimisation plus optional evidence-grounded language explanation; no invented decisions.</w:t>
      </w:r>
    </w:p>
    <w:p>
      <w:pPr>
        <w:pStyle w:val="ListBullet"/>
      </w:pPr>
      <w:r>
        <w:t>How is it scientifically credible? — Source register, physical limits, explicit assumptions, reproducible outputs and validation tests.</w:t>
      </w:r>
    </w:p>
    <w:p>
      <w:pPr>
        <w:pStyle w:val="ListBullet"/>
      </w:pPr>
      <w:r>
        <w:t>Why this intervention? — Show objective contributions, constraints, alternative benefit/cost and neighbourhood equity.</w:t>
      </w:r>
    </w:p>
    <w:p>
      <w:pPr>
        <w:pStyle w:val="ListBullet"/>
      </w:pPr>
      <w:r>
        <w:t>Do the numbers represent real Bengaluru outcomes? — Distinguish observed baseline inputs from illustrative or transferred coefficients.</w:t>
      </w:r>
    </w:p>
    <w:p>
      <w:pPr>
        <w:pStyle w:val="ListBullet"/>
      </w:pPr>
      <w:r>
        <w:t>Why only selected AWS services? — Each retained service supports a visible need; larger managed data/AI services are unjustified for a small time-boxed prototype.</w:t>
      </w:r>
    </w:p>
    <w:p>
      <w:pPr>
        <w:pStyle w:val="ListBullet"/>
      </w:pPr>
      <w:r>
        <w:t>Can it work without AWS or internet? — Demonstrate offline mode from a frozen dataset and deterministic explanations.</w:t>
      </w:r>
    </w:p>
    <w:p>
      <w:pPr>
        <w:pStyle w:val="Heading1"/>
      </w:pPr>
      <w:r>
        <w:t>15. Risks, fallback and release decision</w:t>
      </w:r>
    </w:p>
    <w:tbl>
      <w:tblPr>
        <w:tblW w:type="auto" w:w="0"/>
        <w:jc w:val="center"/>
        <w:tblLayout w:type="fixed"/>
        <w:tblLook w:firstColumn="1" w:firstRow="1" w:lastColumn="0" w:lastRow="0" w:noHBand="0" w:noVBand="1" w:val="04A0"/>
      </w:tblPr>
      <w:tblGrid>
        <w:gridCol w:w="1915"/>
        <w:gridCol w:w="2520"/>
        <w:gridCol w:w="5386"/>
      </w:tblGrid>
      <w:tr>
        <w:trPr>
          <w:tblHeader w:val="true"/>
          <w:cantSplit/>
        </w:trPr>
        <w:tc>
          <w:tcPr>
            <w:tcW w:type="dxa" w:w="1915"/>
            <w:shd w:fill="143A49"/>
            <w:tcMar>
              <w:top w:w="85" w:type="dxa"/>
              <w:start w:w="85" w:type="dxa"/>
              <w:bottom w:w="85" w:type="dxa"/>
              <w:end w:w="85" w:type="dxa"/>
            </w:tcMar>
          </w:tcPr>
          <w:p>
            <w:pPr>
              <w:spacing w:after="0"/>
            </w:pPr>
            <w:r>
              <w:rPr>
                <w:rFonts w:ascii="Lato" w:hAnsi="Lato"/>
                <w:b/>
                <w:color w:val="FFFFFF"/>
                <w:sz w:val="15"/>
              </w:rPr>
              <w:t>Risk</w:t>
            </w:r>
          </w:p>
        </w:tc>
        <w:tc>
          <w:tcPr>
            <w:tcW w:type="dxa" w:w="2520"/>
            <w:shd w:fill="143A49"/>
            <w:tcMar>
              <w:top w:w="85" w:type="dxa"/>
              <w:start w:w="85" w:type="dxa"/>
              <w:bottom w:w="85" w:type="dxa"/>
              <w:end w:w="85" w:type="dxa"/>
            </w:tcMar>
          </w:tcPr>
          <w:p>
            <w:pPr>
              <w:spacing w:after="0"/>
            </w:pPr>
            <w:r>
              <w:rPr>
                <w:rFonts w:ascii="Lato" w:hAnsi="Lato"/>
                <w:b/>
                <w:color w:val="FFFFFF"/>
                <w:sz w:val="15"/>
              </w:rPr>
              <w:t>Trigger</w:t>
            </w:r>
          </w:p>
        </w:tc>
        <w:tc>
          <w:tcPr>
            <w:tcW w:type="dxa" w:w="5386"/>
            <w:shd w:fill="143A49"/>
            <w:tcMar>
              <w:top w:w="85" w:type="dxa"/>
              <w:start w:w="85" w:type="dxa"/>
              <w:bottom w:w="85" w:type="dxa"/>
              <w:end w:w="85" w:type="dxa"/>
            </w:tcMar>
          </w:tcPr>
          <w:p>
            <w:pPr>
              <w:spacing w:after="0"/>
            </w:pPr>
            <w:r>
              <w:rPr>
                <w:rFonts w:ascii="Lato" w:hAnsi="Lato"/>
                <w:b/>
                <w:color w:val="FFFFFF"/>
                <w:sz w:val="15"/>
              </w:rPr>
              <w:t>Fallback / owner</w:t>
            </w:r>
          </w:p>
        </w:tc>
      </w:tr>
      <w:tr>
        <w:trPr>
          <w:cantSplit/>
        </w:trPr>
        <w:tc>
          <w:tcPr>
            <w:tcW w:type="dxa" w:w="1915"/>
            <w:vAlign w:val="center"/>
            <w:tcMar>
              <w:top w:w="65" w:type="dxa"/>
              <w:start w:w="75" w:type="dxa"/>
              <w:bottom w:w="65" w:type="dxa"/>
              <w:end w:w="75" w:type="dxa"/>
            </w:tcMar>
          </w:tcPr>
          <w:p>
            <w:pPr>
              <w:spacing w:after="0" w:line="259" w:lineRule="auto"/>
            </w:pPr>
            <w:r>
              <w:rPr>
                <w:rFonts w:ascii="Lato" w:hAnsi="Lato"/>
                <w:color w:val="202D33"/>
                <w:sz w:val="15"/>
              </w:rPr>
              <w:t>Data unavailable</w:t>
            </w:r>
          </w:p>
        </w:tc>
        <w:tc>
          <w:tcPr>
            <w:tcW w:type="dxa" w:w="2520"/>
            <w:vAlign w:val="center"/>
            <w:tcMar>
              <w:top w:w="65" w:type="dxa"/>
              <w:start w:w="75" w:type="dxa"/>
              <w:bottom w:w="65" w:type="dxa"/>
              <w:end w:w="75" w:type="dxa"/>
            </w:tcMar>
          </w:tcPr>
          <w:p>
            <w:pPr>
              <w:spacing w:after="0" w:line="259" w:lineRule="auto"/>
            </w:pPr>
            <w:r>
              <w:rPr>
                <w:rFonts w:ascii="Lato" w:hAnsi="Lato"/>
                <w:color w:val="202D33"/>
                <w:sz w:val="15"/>
              </w:rPr>
              <w:t>No reliable ward/site layer by early build.</w:t>
            </w:r>
          </w:p>
        </w:tc>
        <w:tc>
          <w:tcPr>
            <w:tcW w:type="dxa" w:w="5386"/>
            <w:vAlign w:val="center"/>
            <w:tcMar>
              <w:top w:w="65" w:type="dxa"/>
              <w:start w:w="75" w:type="dxa"/>
              <w:bottom w:w="65" w:type="dxa"/>
              <w:end w:w="75" w:type="dxa"/>
            </w:tcMar>
          </w:tcPr>
          <w:p>
            <w:pPr>
              <w:spacing w:after="0" w:line="259" w:lineRule="auto"/>
            </w:pPr>
            <w:r>
              <w:rPr>
                <w:rFonts w:ascii="Lato" w:hAnsi="Lato"/>
                <w:color w:val="202D33"/>
                <w:sz w:val="15"/>
              </w:rPr>
              <w:t>Use transparent illustrative zones/capacities with retained local research context; Data lead.</w:t>
            </w:r>
          </w:p>
        </w:tc>
      </w:tr>
      <w:tr>
        <w:trPr>
          <w:cantSplit/>
        </w:trPr>
        <w:tc>
          <w:tcPr>
            <w:tcW w:type="dxa" w:w="1915"/>
            <w:vAlign w:val="center"/>
            <w:tcMar>
              <w:top w:w="65" w:type="dxa"/>
              <w:start w:w="75" w:type="dxa"/>
              <w:bottom w:w="65" w:type="dxa"/>
              <w:end w:w="75" w:type="dxa"/>
            </w:tcMar>
            <w:shd w:fill="F0F5F5"/>
          </w:tcPr>
          <w:p>
            <w:pPr>
              <w:spacing w:after="0" w:line="259" w:lineRule="auto"/>
            </w:pPr>
            <w:r>
              <w:rPr>
                <w:rFonts w:ascii="Lato" w:hAnsi="Lato"/>
                <w:color w:val="202D33"/>
                <w:sz w:val="15"/>
              </w:rPr>
              <w:t>Solver incomplete</w:t>
            </w:r>
          </w:p>
        </w:tc>
        <w:tc>
          <w:tcPr>
            <w:tcW w:type="dxa" w:w="2520"/>
            <w:vAlign w:val="center"/>
            <w:tcMar>
              <w:top w:w="65" w:type="dxa"/>
              <w:start w:w="75" w:type="dxa"/>
              <w:bottom w:w="65" w:type="dxa"/>
              <w:end w:w="75" w:type="dxa"/>
            </w:tcMar>
            <w:shd w:fill="F0F5F5"/>
          </w:tcPr>
          <w:p>
            <w:pPr>
              <w:spacing w:after="0" w:line="259" w:lineRule="auto"/>
            </w:pPr>
            <w:r>
              <w:rPr>
                <w:rFonts w:ascii="Lato" w:hAnsi="Lato"/>
                <w:color w:val="202D33"/>
                <w:sz w:val="15"/>
              </w:rPr>
              <w:t>No feasible MILP by H5.</w:t>
            </w:r>
          </w:p>
        </w:tc>
        <w:tc>
          <w:tcPr>
            <w:tcW w:type="dxa" w:w="5386"/>
            <w:vAlign w:val="center"/>
            <w:tcMar>
              <w:top w:w="65" w:type="dxa"/>
              <w:start w:w="75" w:type="dxa"/>
              <w:bottom w:w="65" w:type="dxa"/>
              <w:end w:w="75" w:type="dxa"/>
            </w:tcMar>
            <w:shd w:fill="F0F5F5"/>
          </w:tcPr>
          <w:p>
            <w:pPr>
              <w:spacing w:after="0" w:line="259" w:lineRule="auto"/>
            </w:pPr>
            <w:r>
              <w:rPr>
                <w:rFonts w:ascii="Lato" w:hAnsi="Lato"/>
                <w:color w:val="202D33"/>
                <w:sz w:val="15"/>
              </w:rPr>
              <w:t>Reduce to one-zone set, brute-force-test portfolio logic, restore multi-zone after solver passes; Optimisation lead.</w:t>
            </w:r>
          </w:p>
        </w:tc>
      </w:tr>
      <w:tr>
        <w:trPr>
          <w:cantSplit/>
        </w:trPr>
        <w:tc>
          <w:tcPr>
            <w:tcW w:type="dxa" w:w="1915"/>
            <w:vAlign w:val="center"/>
            <w:tcMar>
              <w:top w:w="65" w:type="dxa"/>
              <w:start w:w="75" w:type="dxa"/>
              <w:bottom w:w="65" w:type="dxa"/>
              <w:end w:w="75" w:type="dxa"/>
            </w:tcMar>
          </w:tcPr>
          <w:p>
            <w:pPr>
              <w:spacing w:after="0" w:line="259" w:lineRule="auto"/>
            </w:pPr>
            <w:r>
              <w:rPr>
                <w:rFonts w:ascii="Lato" w:hAnsi="Lato"/>
                <w:color w:val="202D33"/>
                <w:sz w:val="15"/>
              </w:rPr>
              <w:t>Scientific mismatch</w:t>
            </w:r>
          </w:p>
        </w:tc>
        <w:tc>
          <w:tcPr>
            <w:tcW w:type="dxa" w:w="2520"/>
            <w:vAlign w:val="center"/>
            <w:tcMar>
              <w:top w:w="65" w:type="dxa"/>
              <w:start w:w="75" w:type="dxa"/>
              <w:bottom w:w="65" w:type="dxa"/>
              <w:end w:w="75" w:type="dxa"/>
            </w:tcMar>
          </w:tcPr>
          <w:p>
            <w:pPr>
              <w:spacing w:after="0" w:line="259" w:lineRule="auto"/>
            </w:pPr>
            <w:r>
              <w:rPr>
                <w:rFonts w:ascii="Lato" w:hAnsi="Lato"/>
                <w:color w:val="202D33"/>
                <w:sz w:val="15"/>
              </w:rPr>
              <w:t>Environmental submodels double-count or yield implausible results.</w:t>
            </w:r>
          </w:p>
        </w:tc>
        <w:tc>
          <w:tcPr>
            <w:tcW w:type="dxa" w:w="5386"/>
            <w:vAlign w:val="center"/>
            <w:tcMar>
              <w:top w:w="65" w:type="dxa"/>
              <w:start w:w="75" w:type="dxa"/>
              <w:bottom w:w="65" w:type="dxa"/>
              <w:end w:w="75" w:type="dxa"/>
            </w:tcMar>
          </w:tcPr>
          <w:p>
            <w:pPr>
              <w:spacing w:after="0" w:line="259" w:lineRule="auto"/>
            </w:pPr>
            <w:r>
              <w:rPr>
                <w:rFonts w:ascii="Lato" w:hAnsi="Lato"/>
                <w:color w:val="202D33"/>
                <w:sz w:val="15"/>
              </w:rPr>
              <w:t>Disable unsupported metric/claim, expose limitation, reduce interaction cases; Data lead.</w:t>
            </w:r>
          </w:p>
        </w:tc>
      </w:tr>
      <w:tr>
        <w:trPr>
          <w:cantSplit/>
        </w:trPr>
        <w:tc>
          <w:tcPr>
            <w:tcW w:type="dxa" w:w="1915"/>
            <w:vAlign w:val="center"/>
            <w:tcMar>
              <w:top w:w="65" w:type="dxa"/>
              <w:start w:w="75" w:type="dxa"/>
              <w:bottom w:w="65" w:type="dxa"/>
              <w:end w:w="75" w:type="dxa"/>
            </w:tcMar>
            <w:shd w:fill="F0F5F5"/>
          </w:tcPr>
          <w:p>
            <w:pPr>
              <w:spacing w:after="0" w:line="259" w:lineRule="auto"/>
            </w:pPr>
            <w:r>
              <w:rPr>
                <w:rFonts w:ascii="Lato" w:hAnsi="Lato"/>
                <w:color w:val="202D33"/>
                <w:sz w:val="15"/>
              </w:rPr>
              <w:t>AWS credentials/model access</w:t>
            </w:r>
          </w:p>
        </w:tc>
        <w:tc>
          <w:tcPr>
            <w:tcW w:type="dxa" w:w="2520"/>
            <w:vAlign w:val="center"/>
            <w:tcMar>
              <w:top w:w="65" w:type="dxa"/>
              <w:start w:w="75" w:type="dxa"/>
              <w:bottom w:w="65" w:type="dxa"/>
              <w:end w:w="75" w:type="dxa"/>
            </w:tcMar>
            <w:shd w:fill="F0F5F5"/>
          </w:tcPr>
          <w:p>
            <w:pPr>
              <w:spacing w:after="0" w:line="259" w:lineRule="auto"/>
            </w:pPr>
            <w:r>
              <w:rPr>
                <w:rFonts w:ascii="Lato" w:hAnsi="Lato"/>
                <w:color w:val="202D33"/>
                <w:sz w:val="15"/>
              </w:rPr>
              <w:t>IAM, cost or model eligibility blocks access.</w:t>
            </w:r>
          </w:p>
        </w:tc>
        <w:tc>
          <w:tcPr>
            <w:tcW w:type="dxa" w:w="5386"/>
            <w:vAlign w:val="center"/>
            <w:tcMar>
              <w:top w:w="65" w:type="dxa"/>
              <w:start w:w="75" w:type="dxa"/>
              <w:bottom w:w="65" w:type="dxa"/>
              <w:end w:w="75" w:type="dxa"/>
            </w:tcMar>
            <w:shd w:fill="F0F5F5"/>
          </w:tcPr>
          <w:p>
            <w:pPr>
              <w:spacing w:after="0" w:line="259" w:lineRule="auto"/>
            </w:pPr>
            <w:r>
              <w:rPr>
                <w:rFonts w:ascii="Lato" w:hAnsi="Lato"/>
                <w:color w:val="202D33"/>
                <w:sz w:val="15"/>
              </w:rPr>
              <w:t>Run local curated snapshot and deterministic explainer; UI/AWS lead.</w:t>
            </w:r>
          </w:p>
        </w:tc>
      </w:tr>
      <w:tr>
        <w:trPr>
          <w:cantSplit/>
        </w:trPr>
        <w:tc>
          <w:tcPr>
            <w:tcW w:type="dxa" w:w="1915"/>
            <w:vAlign w:val="center"/>
            <w:tcMar>
              <w:top w:w="65" w:type="dxa"/>
              <w:start w:w="75" w:type="dxa"/>
              <w:bottom w:w="65" w:type="dxa"/>
              <w:end w:w="75" w:type="dxa"/>
            </w:tcMar>
          </w:tcPr>
          <w:p>
            <w:pPr>
              <w:spacing w:after="0" w:line="259" w:lineRule="auto"/>
            </w:pPr>
            <w:r>
              <w:rPr>
                <w:rFonts w:ascii="Lato" w:hAnsi="Lato"/>
                <w:color w:val="202D33"/>
                <w:sz w:val="15"/>
              </w:rPr>
              <w:t>Deployment fails</w:t>
            </w:r>
          </w:p>
        </w:tc>
        <w:tc>
          <w:tcPr>
            <w:tcW w:type="dxa" w:w="2520"/>
            <w:vAlign w:val="center"/>
            <w:tcMar>
              <w:top w:w="65" w:type="dxa"/>
              <w:start w:w="75" w:type="dxa"/>
              <w:bottom w:w="65" w:type="dxa"/>
              <w:end w:w="75" w:type="dxa"/>
            </w:tcMar>
          </w:tcPr>
          <w:p>
            <w:pPr>
              <w:spacing w:after="0" w:line="259" w:lineRule="auto"/>
            </w:pPr>
            <w:r>
              <w:rPr>
                <w:rFonts w:ascii="Lato" w:hAnsi="Lato"/>
                <w:color w:val="202D33"/>
                <w:sz w:val="15"/>
              </w:rPr>
              <w:t>Hosted URL unavailable at H21.</w:t>
            </w:r>
          </w:p>
        </w:tc>
        <w:tc>
          <w:tcPr>
            <w:tcW w:type="dxa" w:w="5386"/>
            <w:vAlign w:val="center"/>
            <w:tcMar>
              <w:top w:w="65" w:type="dxa"/>
              <w:start w:w="75" w:type="dxa"/>
              <w:bottom w:w="65" w:type="dxa"/>
              <w:end w:w="75" w:type="dxa"/>
            </w:tcMar>
          </w:tcPr>
          <w:p>
            <w:pPr>
              <w:spacing w:after="0" w:line="259" w:lineRule="auto"/>
            </w:pPr>
            <w:r>
              <w:rPr>
                <w:rFonts w:ascii="Lato" w:hAnsi="Lato"/>
                <w:color w:val="202D33"/>
                <w:sz w:val="15"/>
              </w:rPr>
              <w:t>Run on local laptop, include screenshots and prerecorded end-to-end demo; Integration lead.</w:t>
            </w:r>
          </w:p>
        </w:tc>
      </w:tr>
      <w:tr>
        <w:trPr>
          <w:cantSplit/>
        </w:trPr>
        <w:tc>
          <w:tcPr>
            <w:tcW w:type="dxa" w:w="1915"/>
            <w:vAlign w:val="center"/>
            <w:tcMar>
              <w:top w:w="65" w:type="dxa"/>
              <w:start w:w="75" w:type="dxa"/>
              <w:bottom w:w="65" w:type="dxa"/>
              <w:end w:w="75" w:type="dxa"/>
            </w:tcMar>
            <w:shd w:fill="F0F5F5"/>
          </w:tcPr>
          <w:p>
            <w:pPr>
              <w:spacing w:after="0" w:line="259" w:lineRule="auto"/>
            </w:pPr>
            <w:r>
              <w:rPr>
                <w:rFonts w:ascii="Lato" w:hAnsi="Lato"/>
                <w:color w:val="202D33"/>
                <w:sz w:val="15"/>
              </w:rPr>
              <w:t>Features proliferate</w:t>
            </w:r>
          </w:p>
        </w:tc>
        <w:tc>
          <w:tcPr>
            <w:tcW w:type="dxa" w:w="2520"/>
            <w:vAlign w:val="center"/>
            <w:tcMar>
              <w:top w:w="65" w:type="dxa"/>
              <w:start w:w="75" w:type="dxa"/>
              <w:bottom w:w="65" w:type="dxa"/>
              <w:end w:w="75" w:type="dxa"/>
            </w:tcMar>
            <w:shd w:fill="F0F5F5"/>
          </w:tcPr>
          <w:p>
            <w:pPr>
              <w:spacing w:after="0" w:line="259" w:lineRule="auto"/>
            </w:pPr>
            <w:r>
              <w:rPr>
                <w:rFonts w:ascii="Lato" w:hAnsi="Lato"/>
                <w:color w:val="202D33"/>
                <w:sz w:val="15"/>
              </w:rPr>
              <w:t>P1 blocks an unfinished P0.</w:t>
            </w:r>
          </w:p>
        </w:tc>
        <w:tc>
          <w:tcPr>
            <w:tcW w:type="dxa" w:w="5386"/>
            <w:vAlign w:val="center"/>
            <w:tcMar>
              <w:top w:w="65" w:type="dxa"/>
              <w:start w:w="75" w:type="dxa"/>
              <w:bottom w:w="65" w:type="dxa"/>
              <w:end w:w="75" w:type="dxa"/>
            </w:tcMar>
            <w:shd w:fill="F0F5F5"/>
          </w:tcPr>
          <w:p>
            <w:pPr>
              <w:spacing w:after="0" w:line="259" w:lineRule="auto"/>
            </w:pPr>
            <w:r>
              <w:rPr>
                <w:rFonts w:ascii="Lato" w:hAnsi="Lato"/>
                <w:color w:val="202D33"/>
                <w:sz w:val="15"/>
              </w:rPr>
              <w:t>Freeze bonus work, return to mandatory checklist; Anish.</w:t>
            </w:r>
          </w:p>
        </w:tc>
      </w:tr>
      <w:tr>
        <w:trPr>
          <w:cantSplit/>
        </w:trPr>
        <w:tc>
          <w:tcPr>
            <w:tcW w:type="dxa" w:w="1915"/>
            <w:vAlign w:val="center"/>
            <w:tcMar>
              <w:top w:w="65" w:type="dxa"/>
              <w:start w:w="75" w:type="dxa"/>
              <w:bottom w:w="65" w:type="dxa"/>
              <w:end w:w="75" w:type="dxa"/>
            </w:tcMar>
          </w:tcPr>
          <w:p>
            <w:pPr>
              <w:spacing w:after="0" w:line="259" w:lineRule="auto"/>
            </w:pPr>
            <w:r>
              <w:rPr>
                <w:rFonts w:ascii="Lato" w:hAnsi="Lato"/>
                <w:color w:val="202D33"/>
                <w:sz w:val="15"/>
              </w:rPr>
              <w:t>Misleading claims</w:t>
            </w:r>
          </w:p>
        </w:tc>
        <w:tc>
          <w:tcPr>
            <w:tcW w:type="dxa" w:w="2520"/>
            <w:vAlign w:val="center"/>
            <w:tcMar>
              <w:top w:w="65" w:type="dxa"/>
              <w:start w:w="75" w:type="dxa"/>
              <w:bottom w:w="65" w:type="dxa"/>
              <w:end w:w="75" w:type="dxa"/>
            </w:tcMar>
          </w:tcPr>
          <w:p>
            <w:pPr>
              <w:spacing w:after="0" w:line="259" w:lineRule="auto"/>
            </w:pPr>
            <w:r>
              <w:rPr>
                <w:rFonts w:ascii="Lato" w:hAnsi="Lato"/>
                <w:color w:val="202D33"/>
                <w:sz w:val="15"/>
              </w:rPr>
              <w:t>Demo copy asserts precise flood depth, ROI or proven impact.</w:t>
            </w:r>
          </w:p>
        </w:tc>
        <w:tc>
          <w:tcPr>
            <w:tcW w:type="dxa" w:w="5386"/>
            <w:vAlign w:val="center"/>
            <w:tcMar>
              <w:top w:w="65" w:type="dxa"/>
              <w:start w:w="75" w:type="dxa"/>
              <w:bottom w:w="65" w:type="dxa"/>
              <w:end w:w="75" w:type="dxa"/>
            </w:tcMar>
          </w:tcPr>
          <w:p>
            <w:pPr>
              <w:spacing w:after="0" w:line="259" w:lineRule="auto"/>
            </w:pPr>
            <w:r>
              <w:rPr>
                <w:rFonts w:ascii="Lato" w:hAnsi="Lato"/>
                <w:color w:val="202D33"/>
                <w:sz w:val="15"/>
              </w:rPr>
              <w:t>Replace with evidence-based wording and show calculations / assumptions; Anish.</w:t>
            </w:r>
          </w:p>
        </w:tc>
      </w:tr>
    </w:tbl>
    <w:p>
      <w:pPr>
        <w:spacing w:after="40"/>
      </w:pPr>
    </w:p>
    <w:p>
      <w:pPr>
        <w:pStyle w:val="Heading2"/>
      </w:pPr>
      <w:r>
        <w:t>15.1 Must-have vs deferrable backlog</w:t>
      </w:r>
    </w:p>
    <w:tbl>
      <w:tblPr>
        <w:tblW w:type="auto" w:w="0"/>
        <w:jc w:val="center"/>
        <w:tblLayout w:type="fixed"/>
        <w:tblLook w:firstColumn="1" w:firstRow="1" w:lastColumn="0" w:lastRow="0" w:noHBand="0" w:noVBand="1" w:val="04A0"/>
      </w:tblPr>
      <w:tblGrid>
        <w:gridCol w:w="1814"/>
        <w:gridCol w:w="8006"/>
      </w:tblGrid>
      <w:tr>
        <w:trPr>
          <w:tblHeader w:val="true"/>
          <w:cantSplit/>
        </w:trPr>
        <w:tc>
          <w:tcPr>
            <w:tcW w:type="dxa" w:w="1814"/>
            <w:shd w:fill="143A49"/>
            <w:tcMar>
              <w:top w:w="85" w:type="dxa"/>
              <w:start w:w="85" w:type="dxa"/>
              <w:bottom w:w="85" w:type="dxa"/>
              <w:end w:w="85" w:type="dxa"/>
            </w:tcMar>
          </w:tcPr>
          <w:p>
            <w:pPr>
              <w:spacing w:after="0"/>
            </w:pPr>
            <w:r>
              <w:rPr>
                <w:rFonts w:ascii="Lato" w:hAnsi="Lato"/>
                <w:b/>
                <w:color w:val="FFFFFF"/>
                <w:sz w:val="15"/>
              </w:rPr>
              <w:t>Priority</w:t>
            </w:r>
          </w:p>
        </w:tc>
        <w:tc>
          <w:tcPr>
            <w:tcW w:type="dxa" w:w="8006"/>
            <w:shd w:fill="143A49"/>
            <w:tcMar>
              <w:top w:w="85" w:type="dxa"/>
              <w:start w:w="85" w:type="dxa"/>
              <w:bottom w:w="85" w:type="dxa"/>
              <w:end w:w="85" w:type="dxa"/>
            </w:tcMar>
          </w:tcPr>
          <w:p>
            <w:pPr>
              <w:spacing w:after="0"/>
            </w:pPr>
            <w:r>
              <w:rPr>
                <w:rFonts w:ascii="Lato" w:hAnsi="Lato"/>
                <w:b/>
                <w:color w:val="FFFFFF"/>
                <w:sz w:val="15"/>
              </w:rPr>
              <w:t>Includes</w:t>
            </w:r>
          </w:p>
        </w:tc>
      </w:tr>
      <w:tr>
        <w:trPr>
          <w:cantSplit/>
        </w:trPr>
        <w:tc>
          <w:tcPr>
            <w:tcW w:type="dxa" w:w="1814"/>
            <w:vAlign w:val="center"/>
            <w:tcMar>
              <w:top w:w="65" w:type="dxa"/>
              <w:start w:w="75" w:type="dxa"/>
              <w:bottom w:w="65" w:type="dxa"/>
              <w:end w:w="75" w:type="dxa"/>
            </w:tcMar>
          </w:tcPr>
          <w:p>
            <w:pPr>
              <w:spacing w:after="0" w:line="259" w:lineRule="auto"/>
            </w:pPr>
            <w:r>
              <w:rPr>
                <w:rFonts w:ascii="Lato" w:hAnsi="Lato"/>
                <w:color w:val="202D33"/>
                <w:sz w:val="15"/>
              </w:rPr>
              <w:t>P0: release-critical</w:t>
            </w:r>
          </w:p>
        </w:tc>
        <w:tc>
          <w:tcPr>
            <w:tcW w:type="dxa" w:w="8006"/>
            <w:vAlign w:val="center"/>
            <w:tcMar>
              <w:top w:w="65" w:type="dxa"/>
              <w:start w:w="75" w:type="dxa"/>
              <w:bottom w:w="65" w:type="dxa"/>
              <w:end w:w="75" w:type="dxa"/>
            </w:tcMar>
          </w:tcPr>
          <w:p>
            <w:pPr>
              <w:spacing w:after="0" w:line="259" w:lineRule="auto"/>
            </w:pPr>
            <w:r>
              <w:rPr>
                <w:rFonts w:ascii="Lato" w:hAnsi="Lato"/>
                <w:color w:val="202D33"/>
                <w:sz w:val="15"/>
              </w:rPr>
              <w:t>Five PS modules, four intervention types, three shocks, feasible MILP, source/assumption register, equity results, deterministic explanation, immutable run and tests.</w:t>
            </w:r>
          </w:p>
        </w:tc>
      </w:tr>
      <w:tr>
        <w:trPr>
          <w:cantSplit/>
        </w:trPr>
        <w:tc>
          <w:tcPr>
            <w:tcW w:type="dxa" w:w="1814"/>
            <w:vAlign w:val="center"/>
            <w:tcMar>
              <w:top w:w="65" w:type="dxa"/>
              <w:start w:w="75" w:type="dxa"/>
              <w:bottom w:w="65" w:type="dxa"/>
              <w:end w:w="75" w:type="dxa"/>
            </w:tcMar>
            <w:shd w:fill="F0F5F5"/>
          </w:tcPr>
          <w:p>
            <w:pPr>
              <w:spacing w:after="0" w:line="259" w:lineRule="auto"/>
            </w:pPr>
            <w:r>
              <w:rPr>
                <w:rFonts w:ascii="Lato" w:hAnsi="Lato"/>
                <w:color w:val="202D33"/>
                <w:sz w:val="15"/>
              </w:rPr>
              <w:t>P1: impact</w:t>
            </w:r>
          </w:p>
        </w:tc>
        <w:tc>
          <w:tcPr>
            <w:tcW w:type="dxa" w:w="8006"/>
            <w:vAlign w:val="center"/>
            <w:tcMar>
              <w:top w:w="65" w:type="dxa"/>
              <w:start w:w="75" w:type="dxa"/>
              <w:bottom w:w="65" w:type="dxa"/>
              <w:end w:w="75" w:type="dxa"/>
            </w:tcMar>
            <w:shd w:fill="F0F5F5"/>
          </w:tcPr>
          <w:p>
            <w:pPr>
              <w:spacing w:after="0" w:line="259" w:lineRule="auto"/>
            </w:pPr>
            <w:r>
              <w:rPr>
                <w:rFonts w:ascii="Lato" w:hAnsi="Lato"/>
                <w:color w:val="202D33"/>
                <w:sz w:val="15"/>
              </w:rPr>
              <w:t>Expanded LCC/carbon evidence, comparative conventional baseline, sensitivity stress test, S3 and Bedrock integration, printable brief; minimum carbon and cost treatment remains P0.</w:t>
            </w:r>
          </w:p>
        </w:tc>
      </w:tr>
      <w:tr>
        <w:trPr>
          <w:cantSplit/>
        </w:trPr>
        <w:tc>
          <w:tcPr>
            <w:tcW w:type="dxa" w:w="1814"/>
            <w:vAlign w:val="center"/>
            <w:tcMar>
              <w:top w:w="65" w:type="dxa"/>
              <w:start w:w="75" w:type="dxa"/>
              <w:bottom w:w="65" w:type="dxa"/>
              <w:end w:w="75" w:type="dxa"/>
            </w:tcMar>
          </w:tcPr>
          <w:p>
            <w:pPr>
              <w:spacing w:after="0" w:line="259" w:lineRule="auto"/>
            </w:pPr>
            <w:r>
              <w:rPr>
                <w:rFonts w:ascii="Lato" w:hAnsi="Lato"/>
                <w:color w:val="202D33"/>
                <w:sz w:val="15"/>
              </w:rPr>
              <w:t>P2: post-MVP</w:t>
            </w:r>
          </w:p>
        </w:tc>
        <w:tc>
          <w:tcPr>
            <w:tcW w:type="dxa" w:w="8006"/>
            <w:vAlign w:val="center"/>
            <w:tcMar>
              <w:top w:w="65" w:type="dxa"/>
              <w:start w:w="75" w:type="dxa"/>
              <w:bottom w:w="65" w:type="dxa"/>
              <w:end w:w="75" w:type="dxa"/>
            </w:tcMar>
          </w:tcPr>
          <w:p>
            <w:pPr>
              <w:spacing w:after="0" w:line="259" w:lineRule="auto"/>
            </w:pPr>
            <w:r>
              <w:rPr>
                <w:rFonts w:ascii="Lato" w:hAnsi="Lato"/>
                <w:color w:val="202D33"/>
                <w:sz w:val="15"/>
              </w:rPr>
              <w:t>Committed construction switch, expanded Pareto analytics, advanced GIS, external policy RAG, more AWS services and polished multi-page export.</w:t>
            </w:r>
          </w:p>
        </w:tc>
      </w:tr>
      <w:tr>
        <w:trPr>
          <w:cantSplit/>
        </w:trPr>
        <w:tc>
          <w:tcPr>
            <w:tcW w:type="dxa" w:w="1814"/>
            <w:vAlign w:val="center"/>
            <w:tcMar>
              <w:top w:w="65" w:type="dxa"/>
              <w:start w:w="75" w:type="dxa"/>
              <w:bottom w:w="65" w:type="dxa"/>
              <w:end w:w="75" w:type="dxa"/>
            </w:tcMar>
            <w:shd w:fill="F0F5F5"/>
          </w:tcPr>
          <w:p>
            <w:pPr>
              <w:spacing w:after="0" w:line="259" w:lineRule="auto"/>
            </w:pPr>
            <w:r>
              <w:rPr>
                <w:rFonts w:ascii="Lato" w:hAnsi="Lato"/>
                <w:color w:val="202D33"/>
                <w:sz w:val="15"/>
              </w:rPr>
              <w:t>Out of scope</w:t>
            </w:r>
          </w:p>
        </w:tc>
        <w:tc>
          <w:tcPr>
            <w:tcW w:type="dxa" w:w="8006"/>
            <w:vAlign w:val="center"/>
            <w:tcMar>
              <w:top w:w="65" w:type="dxa"/>
              <w:start w:w="75" w:type="dxa"/>
              <w:bottom w:w="65" w:type="dxa"/>
              <w:end w:w="75" w:type="dxa"/>
            </w:tcMar>
            <w:shd w:fill="F0F5F5"/>
          </w:tcPr>
          <w:p>
            <w:pPr>
              <w:spacing w:after="0" w:line="259" w:lineRule="auto"/>
            </w:pPr>
            <w:r>
              <w:rPr>
                <w:rFonts w:ascii="Lato" w:hAnsi="Lato"/>
                <w:color w:val="202D33"/>
                <w:sz w:val="15"/>
              </w:rPr>
              <w:t>CKAN/EKS deployment, SimSpace Weaver digital twin, validated flood-depth forecasts, new deep-learning training, actual public-policy deployment.</w:t>
            </w:r>
          </w:p>
        </w:tc>
      </w:tr>
    </w:tbl>
    <w:p>
      <w:pPr>
        <w:spacing w:after="40"/>
      </w:pPr>
    </w:p>
    <w:p>
      <w:pPr>
        <w:pStyle w:val="Heading2"/>
      </w:pPr>
      <w:r>
        <w:t>15.2 Release declaration</w:t>
      </w:r>
    </w:p>
    <w:tbl>
      <w:tblPr>
        <w:tblW w:type="auto" w:w="0"/>
        <w:tblLook w:firstColumn="1" w:firstRow="1" w:lastColumn="0" w:lastRow="0" w:noHBand="0" w:noVBand="1" w:val="04A0"/>
      </w:tblPr>
      <w:tblGrid>
        <w:gridCol w:w="9749"/>
      </w:tblGrid>
      <w:tr>
        <w:tc>
          <w:tcPr>
            <w:tcW w:type="dxa" w:w="9749"/>
            <w:shd w:fill="EAF5F3"/>
            <w:tcMar>
              <w:top w:w="120" w:type="dxa"/>
              <w:start w:w="150" w:type="dxa"/>
              <w:bottom w:w="110" w:type="dxa"/>
              <w:end w:w="150" w:type="dxa"/>
            </w:tcMar>
          </w:tcPr>
          <w:p>
            <w:pPr>
              <w:spacing w:after="80"/>
            </w:pPr>
            <w:r>
              <w:rPr>
                <w:b/>
                <w:color w:val="0F7671"/>
                <w:sz w:val="16"/>
              </w:rPr>
              <w:t>DEFINITION OF DONE</w:t>
            </w:r>
          </w:p>
          <w:p>
            <w:pPr>
              <w:spacing w:after="0"/>
            </w:pPr>
            <w:r>
              <w:rPr>
                <w:sz w:val="18"/>
              </w:rPr>
              <w:t>A judge can select a zone, enter budget/priorities, obtain a physically feasible recommendation covering the four intervention choices, view benefits and equity by zone, rerun under all three named shocks, inspect why/why not explanations and retrieve an auditable saved run. Every important number has a source or assumption and an appropriate limitation.</w:t>
            </w:r>
          </w:p>
        </w:tc>
      </w:tr>
    </w:tbl>
    <w:p>
      <w:pPr>
        <w:spacing w:after="20"/>
      </w:pPr>
    </w:p>
    <w:p>
      <w:pPr>
        <w:pStyle w:val="Heading1"/>
      </w:pPr>
      <w:r>
        <w:t>16. Locked build decisions, open questions, and evidence gates</w:t>
      </w:r>
    </w:p>
    <w:tbl>
      <w:tblPr>
        <w:tblW w:type="auto" w:w="0"/>
        <w:jc w:val="center"/>
        <w:tblLayout w:type="fixed"/>
        <w:tblLook w:firstColumn="1" w:firstRow="1" w:lastColumn="0" w:lastRow="0" w:noHBand="0" w:noVBand="1" w:val="04A0"/>
      </w:tblPr>
      <w:tblGrid>
        <w:gridCol w:w="2232"/>
        <w:gridCol w:w="1642"/>
        <w:gridCol w:w="5947"/>
      </w:tblGrid>
      <w:tr>
        <w:trPr>
          <w:tblHeader w:val="true"/>
          <w:cantSplit/>
        </w:trPr>
        <w:tc>
          <w:tcPr>
            <w:tcW w:type="dxa" w:w="2232"/>
            <w:shd w:fill="143A49"/>
            <w:tcMar>
              <w:top w:w="85" w:type="dxa"/>
              <w:start w:w="85" w:type="dxa"/>
              <w:bottom w:w="85" w:type="dxa"/>
              <w:end w:w="85" w:type="dxa"/>
            </w:tcMar>
          </w:tcPr>
          <w:p>
            <w:pPr>
              <w:spacing w:after="0"/>
            </w:pPr>
            <w:r>
              <w:rPr>
                <w:rFonts w:ascii="Lato" w:hAnsi="Lato"/>
                <w:b/>
                <w:color w:val="FFFFFF"/>
                <w:sz w:val="14"/>
              </w:rPr>
              <w:t>Item</w:t>
            </w:r>
          </w:p>
        </w:tc>
        <w:tc>
          <w:tcPr>
            <w:tcW w:type="dxa" w:w="1642"/>
            <w:shd w:fill="143A49"/>
            <w:tcMar>
              <w:top w:w="85" w:type="dxa"/>
              <w:start w:w="85" w:type="dxa"/>
              <w:bottom w:w="85" w:type="dxa"/>
              <w:end w:w="85" w:type="dxa"/>
            </w:tcMar>
          </w:tcPr>
          <w:p>
            <w:pPr>
              <w:spacing w:after="0"/>
            </w:pPr>
            <w:r>
              <w:rPr>
                <w:rFonts w:ascii="Lato" w:hAnsi="Lato"/>
                <w:b/>
                <w:color w:val="FFFFFF"/>
                <w:sz w:val="14"/>
              </w:rPr>
              <w:t>Status now</w:t>
            </w:r>
          </w:p>
        </w:tc>
        <w:tc>
          <w:tcPr>
            <w:tcW w:type="dxa" w:w="5947"/>
            <w:shd w:fill="143A49"/>
            <w:tcMar>
              <w:top w:w="85" w:type="dxa"/>
              <w:start w:w="85" w:type="dxa"/>
              <w:bottom w:w="85" w:type="dxa"/>
              <w:end w:w="85" w:type="dxa"/>
            </w:tcMar>
          </w:tcPr>
          <w:p>
            <w:pPr>
              <w:spacing w:after="0"/>
            </w:pPr>
            <w:r>
              <w:rPr>
                <w:rFonts w:ascii="Lato" w:hAnsi="Lato"/>
                <w:b/>
                <w:color w:val="FFFFFF"/>
                <w:sz w:val="14"/>
              </w:rPr>
              <w:t>How it is resolved for implementation</w:t>
            </w:r>
          </w:p>
        </w:tc>
      </w:tr>
      <w:tr>
        <w:trPr>
          <w:cantSplit/>
        </w:trPr>
        <w:tc>
          <w:tcPr>
            <w:tcW w:type="dxa" w:w="2232"/>
            <w:vAlign w:val="center"/>
            <w:tcMar>
              <w:top w:w="65" w:type="dxa"/>
              <w:start w:w="75" w:type="dxa"/>
              <w:bottom w:w="65" w:type="dxa"/>
              <w:end w:w="75" w:type="dxa"/>
            </w:tcMar>
          </w:tcPr>
          <w:p>
            <w:pPr>
              <w:spacing w:after="0" w:line="259" w:lineRule="auto"/>
            </w:pPr>
            <w:r>
              <w:rPr>
                <w:rFonts w:ascii="Lato" w:hAnsi="Lato"/>
                <w:color w:val="202D33"/>
                <w:sz w:val="14"/>
              </w:rPr>
              <w:t>Five PS modules / four interventions</w:t>
            </w:r>
          </w:p>
        </w:tc>
        <w:tc>
          <w:tcPr>
            <w:tcW w:type="dxa" w:w="1642"/>
            <w:vAlign w:val="center"/>
            <w:tcMar>
              <w:top w:w="65" w:type="dxa"/>
              <w:start w:w="75" w:type="dxa"/>
              <w:bottom w:w="65" w:type="dxa"/>
              <w:end w:w="75" w:type="dxa"/>
            </w:tcMar>
          </w:tcPr>
          <w:p>
            <w:pPr>
              <w:spacing w:after="0" w:line="259" w:lineRule="auto"/>
            </w:pPr>
            <w:r>
              <w:rPr>
                <w:rFonts w:ascii="Lato" w:hAnsi="Lato"/>
                <w:color w:val="202D33"/>
                <w:sz w:val="14"/>
              </w:rPr>
              <w:t>LOCKED</w:t>
            </w:r>
          </w:p>
        </w:tc>
        <w:tc>
          <w:tcPr>
            <w:tcW w:type="dxa" w:w="5947"/>
            <w:vAlign w:val="center"/>
            <w:tcMar>
              <w:top w:w="65" w:type="dxa"/>
              <w:start w:w="75" w:type="dxa"/>
              <w:bottom w:w="65" w:type="dxa"/>
              <w:end w:w="75" w:type="dxa"/>
            </w:tcMar>
          </w:tcPr>
          <w:p>
            <w:pPr>
              <w:spacing w:after="0" w:line="259" w:lineRule="auto"/>
            </w:pPr>
            <w:r>
              <w:rPr>
                <w:rFonts w:ascii="Lato" w:hAnsi="Lato"/>
                <w:color w:val="202D33"/>
                <w:sz w:val="14"/>
              </w:rPr>
              <w:t>Never remove or substitute.</w:t>
            </w:r>
          </w:p>
        </w:tc>
      </w:tr>
      <w:tr>
        <w:trPr>
          <w:cantSplit/>
        </w:trPr>
        <w:tc>
          <w:tcPr>
            <w:tcW w:type="dxa" w:w="2232"/>
            <w:vAlign w:val="center"/>
            <w:tcMar>
              <w:top w:w="65" w:type="dxa"/>
              <w:start w:w="75" w:type="dxa"/>
              <w:bottom w:w="65" w:type="dxa"/>
              <w:end w:w="75" w:type="dxa"/>
            </w:tcMar>
            <w:shd w:fill="F0F5F5"/>
          </w:tcPr>
          <w:p>
            <w:pPr>
              <w:spacing w:after="0" w:line="259" w:lineRule="auto"/>
            </w:pPr>
            <w:r>
              <w:rPr>
                <w:rFonts w:ascii="Lato" w:hAnsi="Lato"/>
                <w:color w:val="202D33"/>
                <w:sz w:val="14"/>
              </w:rPr>
              <w:t>Three zones in Yelahanka pilot</w:t>
            </w:r>
          </w:p>
        </w:tc>
        <w:tc>
          <w:tcPr>
            <w:tcW w:type="dxa" w:w="1642"/>
            <w:vAlign w:val="center"/>
            <w:tcMar>
              <w:top w:w="65" w:type="dxa"/>
              <w:start w:w="75" w:type="dxa"/>
              <w:bottom w:w="65" w:type="dxa"/>
              <w:end w:w="75" w:type="dxa"/>
            </w:tcMar>
            <w:shd w:fill="F0F5F5"/>
          </w:tcPr>
          <w:p>
            <w:pPr>
              <w:spacing w:after="0" w:line="259" w:lineRule="auto"/>
            </w:pPr>
            <w:r>
              <w:rPr>
                <w:rFonts w:ascii="Lato" w:hAnsi="Lato"/>
                <w:color w:val="202D33"/>
                <w:sz w:val="14"/>
              </w:rPr>
              <w:t>DESIGN TARGET</w:t>
            </w:r>
          </w:p>
        </w:tc>
        <w:tc>
          <w:tcPr>
            <w:tcW w:type="dxa" w:w="5947"/>
            <w:vAlign w:val="center"/>
            <w:tcMar>
              <w:top w:w="65" w:type="dxa"/>
              <w:start w:w="75" w:type="dxa"/>
              <w:bottom w:w="65" w:type="dxa"/>
              <w:end w:w="75" w:type="dxa"/>
            </w:tcMar>
            <w:shd w:fill="F0F5F5"/>
          </w:tcPr>
          <w:p>
            <w:pPr>
              <w:spacing w:after="0" w:line="259" w:lineRule="auto"/>
            </w:pPr>
            <w:r>
              <w:rPr>
                <w:rFonts w:ascii="Lato" w:hAnsi="Lato"/>
                <w:color w:val="202D33"/>
                <w:sz w:val="14"/>
              </w:rPr>
              <w:t>Verify polygons/coherent catchment. If not possible, label illustrative zones; no false administrative claims.</w:t>
            </w:r>
          </w:p>
        </w:tc>
      </w:tr>
      <w:tr>
        <w:trPr>
          <w:cantSplit/>
        </w:trPr>
        <w:tc>
          <w:tcPr>
            <w:tcW w:type="dxa" w:w="2232"/>
            <w:vAlign w:val="center"/>
            <w:tcMar>
              <w:top w:w="65" w:type="dxa"/>
              <w:start w:w="75" w:type="dxa"/>
              <w:bottom w:w="65" w:type="dxa"/>
              <w:end w:w="75" w:type="dxa"/>
            </w:tcMar>
          </w:tcPr>
          <w:p>
            <w:pPr>
              <w:spacing w:after="0" w:line="259" w:lineRule="auto"/>
            </w:pPr>
            <w:r>
              <w:rPr>
                <w:rFonts w:ascii="Lato" w:hAnsi="Lato"/>
                <w:color w:val="202D33"/>
                <w:sz w:val="14"/>
              </w:rPr>
              <w:t>Source values for rainfall, heat, water and vulnerable groups</w:t>
            </w:r>
          </w:p>
        </w:tc>
        <w:tc>
          <w:tcPr>
            <w:tcW w:type="dxa" w:w="1642"/>
            <w:vAlign w:val="center"/>
            <w:tcMar>
              <w:top w:w="65" w:type="dxa"/>
              <w:start w:w="75" w:type="dxa"/>
              <w:bottom w:w="65" w:type="dxa"/>
              <w:end w:w="75" w:type="dxa"/>
            </w:tcMar>
          </w:tcPr>
          <w:p>
            <w:pPr>
              <w:spacing w:after="0" w:line="259" w:lineRule="auto"/>
            </w:pPr>
            <w:r>
              <w:rPr>
                <w:rFonts w:ascii="Lato" w:hAnsi="Lato"/>
                <w:color w:val="202D33"/>
                <w:sz w:val="14"/>
              </w:rPr>
              <w:t>DATA GATE</w:t>
            </w:r>
          </w:p>
        </w:tc>
        <w:tc>
          <w:tcPr>
            <w:tcW w:type="dxa" w:w="5947"/>
            <w:vAlign w:val="center"/>
            <w:tcMar>
              <w:top w:w="65" w:type="dxa"/>
              <w:start w:w="75" w:type="dxa"/>
              <w:bottom w:w="65" w:type="dxa"/>
              <w:end w:w="75" w:type="dxa"/>
            </w:tcMar>
          </w:tcPr>
          <w:p>
            <w:pPr>
              <w:spacing w:after="0" w:line="259" w:lineRule="auto"/>
            </w:pPr>
            <w:r>
              <w:rPr>
                <w:rFonts w:ascii="Lato" w:hAnsi="Lato"/>
                <w:color w:val="202D33"/>
                <w:sz w:val="14"/>
              </w:rPr>
              <w:t>Member 3 records per-field provenance and spatial resolution; unsupported values remain illustrative.</w:t>
            </w:r>
          </w:p>
        </w:tc>
      </w:tr>
      <w:tr>
        <w:trPr>
          <w:cantSplit/>
        </w:trPr>
        <w:tc>
          <w:tcPr>
            <w:tcW w:type="dxa" w:w="2232"/>
            <w:vAlign w:val="center"/>
            <w:tcMar>
              <w:top w:w="65" w:type="dxa"/>
              <w:start w:w="75" w:type="dxa"/>
              <w:bottom w:w="65" w:type="dxa"/>
              <w:end w:w="75" w:type="dxa"/>
            </w:tcMar>
            <w:shd w:fill="F0F5F5"/>
          </w:tcPr>
          <w:p>
            <w:pPr>
              <w:spacing w:after="0" w:line="259" w:lineRule="auto"/>
            </w:pPr>
            <w:r>
              <w:rPr>
                <w:rFonts w:ascii="Lato" w:hAnsi="Lato"/>
                <w:color w:val="202D33"/>
                <w:sz w:val="14"/>
              </w:rPr>
              <w:t>Primary optimiser</w:t>
            </w:r>
          </w:p>
        </w:tc>
        <w:tc>
          <w:tcPr>
            <w:tcW w:type="dxa" w:w="1642"/>
            <w:vAlign w:val="center"/>
            <w:tcMar>
              <w:top w:w="65" w:type="dxa"/>
              <w:start w:w="75" w:type="dxa"/>
              <w:bottom w:w="65" w:type="dxa"/>
              <w:end w:w="75" w:type="dxa"/>
            </w:tcMar>
            <w:shd w:fill="F0F5F5"/>
          </w:tcPr>
          <w:p>
            <w:pPr>
              <w:spacing w:after="0" w:line="259" w:lineRule="auto"/>
            </w:pPr>
            <w:r>
              <w:rPr>
                <w:rFonts w:ascii="Lato" w:hAnsi="Lato"/>
                <w:color w:val="202D33"/>
                <w:sz w:val="14"/>
              </w:rPr>
              <w:t>LOCKED</w:t>
            </w:r>
          </w:p>
        </w:tc>
        <w:tc>
          <w:tcPr>
            <w:tcW w:type="dxa" w:w="5947"/>
            <w:vAlign w:val="center"/>
            <w:tcMar>
              <w:top w:w="65" w:type="dxa"/>
              <w:start w:w="75" w:type="dxa"/>
              <w:bottom w:w="65" w:type="dxa"/>
              <w:end w:w="75" w:type="dxa"/>
            </w:tcMar>
            <w:shd w:fill="F0F5F5"/>
          </w:tcPr>
          <w:p>
            <w:pPr>
              <w:spacing w:after="0" w:line="259" w:lineRule="auto"/>
            </w:pPr>
            <w:r>
              <w:rPr>
                <w:rFonts w:ascii="Lato" w:hAnsi="Lato"/>
                <w:color w:val="202D33"/>
                <w:sz w:val="14"/>
              </w:rPr>
              <w:t>MILP on precomputed, documented scenario-dependent coefficients.</w:t>
            </w:r>
          </w:p>
        </w:tc>
      </w:tr>
      <w:tr>
        <w:trPr>
          <w:cantSplit/>
        </w:trPr>
        <w:tc>
          <w:tcPr>
            <w:tcW w:type="dxa" w:w="2232"/>
            <w:vAlign w:val="center"/>
            <w:tcMar>
              <w:top w:w="65" w:type="dxa"/>
              <w:start w:w="75" w:type="dxa"/>
              <w:bottom w:w="65" w:type="dxa"/>
              <w:end w:w="75" w:type="dxa"/>
            </w:tcMar>
          </w:tcPr>
          <w:p>
            <w:pPr>
              <w:spacing w:after="0" w:line="259" w:lineRule="auto"/>
            </w:pPr>
            <w:r>
              <w:rPr>
                <w:rFonts w:ascii="Lato" w:hAnsi="Lato"/>
                <w:color w:val="202D33"/>
                <w:sz w:val="14"/>
              </w:rPr>
              <w:t>Weights and horizons</w:t>
            </w:r>
          </w:p>
        </w:tc>
        <w:tc>
          <w:tcPr>
            <w:tcW w:type="dxa" w:w="1642"/>
            <w:vAlign w:val="center"/>
            <w:tcMar>
              <w:top w:w="65" w:type="dxa"/>
              <w:start w:w="75" w:type="dxa"/>
              <w:bottom w:w="65" w:type="dxa"/>
              <w:end w:w="75" w:type="dxa"/>
            </w:tcMar>
          </w:tcPr>
          <w:p>
            <w:pPr>
              <w:spacing w:after="0" w:line="259" w:lineRule="auto"/>
            </w:pPr>
            <w:r>
              <w:rPr>
                <w:rFonts w:ascii="Lato" w:hAnsi="Lato"/>
                <w:color w:val="202D33"/>
                <w:sz w:val="14"/>
              </w:rPr>
              <w:t>DESIGN DEFAULT</w:t>
            </w:r>
          </w:p>
        </w:tc>
        <w:tc>
          <w:tcPr>
            <w:tcW w:type="dxa" w:w="5947"/>
            <w:vAlign w:val="center"/>
            <w:tcMar>
              <w:top w:w="65" w:type="dxa"/>
              <w:start w:w="75" w:type="dxa"/>
              <w:bottom w:w="65" w:type="dxa"/>
              <w:end w:w="75" w:type="dxa"/>
            </w:tcMar>
          </w:tcPr>
          <w:p>
            <w:pPr>
              <w:spacing w:after="0" w:line="259" w:lineRule="auto"/>
            </w:pPr>
            <w:r>
              <w:rPr>
                <w:rFonts w:ascii="Lato" w:hAnsi="Lato"/>
                <w:color w:val="202D33"/>
                <w:sz w:val="14"/>
              </w:rPr>
              <w:t>Visible weights, T=10 y and r=5% illustration; user can inspect/override.</w:t>
            </w:r>
          </w:p>
        </w:tc>
      </w:tr>
      <w:tr>
        <w:trPr>
          <w:cantSplit/>
        </w:trPr>
        <w:tc>
          <w:tcPr>
            <w:tcW w:type="dxa" w:w="2232"/>
            <w:vAlign w:val="center"/>
            <w:tcMar>
              <w:top w:w="65" w:type="dxa"/>
              <w:start w:w="75" w:type="dxa"/>
              <w:bottom w:w="65" w:type="dxa"/>
              <w:end w:w="75" w:type="dxa"/>
            </w:tcMar>
            <w:shd w:fill="F0F5F5"/>
          </w:tcPr>
          <w:p>
            <w:pPr>
              <w:spacing w:after="0" w:line="259" w:lineRule="auto"/>
            </w:pPr>
            <w:r>
              <w:rPr>
                <w:rFonts w:ascii="Lato" w:hAnsi="Lato"/>
                <w:color w:val="202D33"/>
                <w:sz w:val="14"/>
              </w:rPr>
              <w:t>Environmental benefits</w:t>
            </w:r>
          </w:p>
        </w:tc>
        <w:tc>
          <w:tcPr>
            <w:tcW w:type="dxa" w:w="1642"/>
            <w:vAlign w:val="center"/>
            <w:tcMar>
              <w:top w:w="65" w:type="dxa"/>
              <w:start w:w="75" w:type="dxa"/>
              <w:bottom w:w="65" w:type="dxa"/>
              <w:end w:w="75" w:type="dxa"/>
            </w:tcMar>
            <w:shd w:fill="F0F5F5"/>
          </w:tcPr>
          <w:p>
            <w:pPr>
              <w:spacing w:after="0" w:line="259" w:lineRule="auto"/>
            </w:pPr>
            <w:r>
              <w:rPr>
                <w:rFonts w:ascii="Lato" w:hAnsi="Lato"/>
                <w:color w:val="202D33"/>
                <w:sz w:val="14"/>
              </w:rPr>
              <w:t>MODEL GATE</w:t>
            </w:r>
          </w:p>
        </w:tc>
        <w:tc>
          <w:tcPr>
            <w:tcW w:type="dxa" w:w="5947"/>
            <w:vAlign w:val="center"/>
            <w:tcMar>
              <w:top w:w="65" w:type="dxa"/>
              <w:start w:w="75" w:type="dxa"/>
              <w:bottom w:w="65" w:type="dxa"/>
              <w:end w:w="75" w:type="dxa"/>
            </w:tcMar>
            <w:shd w:fill="F0F5F5"/>
          </w:tcPr>
          <w:p>
            <w:pPr>
              <w:spacing w:after="0" w:line="259" w:lineRule="auto"/>
            </w:pPr>
            <w:r>
              <w:rPr>
                <w:rFonts w:ascii="Lato" w:hAnsi="Lato"/>
                <w:color w:val="202D33"/>
                <w:sz w:val="14"/>
              </w:rPr>
              <w:t>Separate runoff, storage balance, heat-index and carbon-ledger submodels; verify fixtures.</w:t>
            </w:r>
          </w:p>
        </w:tc>
      </w:tr>
      <w:tr>
        <w:trPr>
          <w:cantSplit/>
        </w:trPr>
        <w:tc>
          <w:tcPr>
            <w:tcW w:type="dxa" w:w="2232"/>
            <w:vAlign w:val="center"/>
            <w:tcMar>
              <w:top w:w="65" w:type="dxa"/>
              <w:start w:w="75" w:type="dxa"/>
              <w:bottom w:w="65" w:type="dxa"/>
              <w:end w:w="75" w:type="dxa"/>
            </w:tcMar>
          </w:tcPr>
          <w:p>
            <w:pPr>
              <w:spacing w:after="0" w:line="259" w:lineRule="auto"/>
            </w:pPr>
            <w:r>
              <w:rPr>
                <w:rFonts w:ascii="Lato" w:hAnsi="Lato"/>
                <w:color w:val="202D33"/>
                <w:sz w:val="14"/>
              </w:rPr>
              <w:t>AWS services</w:t>
            </w:r>
          </w:p>
        </w:tc>
        <w:tc>
          <w:tcPr>
            <w:tcW w:type="dxa" w:w="1642"/>
            <w:vAlign w:val="center"/>
            <w:tcMar>
              <w:top w:w="65" w:type="dxa"/>
              <w:start w:w="75" w:type="dxa"/>
              <w:bottom w:w="65" w:type="dxa"/>
              <w:end w:w="75" w:type="dxa"/>
            </w:tcMar>
          </w:tcPr>
          <w:p>
            <w:pPr>
              <w:spacing w:after="0" w:line="259" w:lineRule="auto"/>
            </w:pPr>
            <w:r>
              <w:rPr>
                <w:rFonts w:ascii="Lato" w:hAnsi="Lato"/>
                <w:color w:val="202D33"/>
                <w:sz w:val="14"/>
              </w:rPr>
              <w:t>CONDITIONAL</w:t>
            </w:r>
          </w:p>
        </w:tc>
        <w:tc>
          <w:tcPr>
            <w:tcW w:type="dxa" w:w="5947"/>
            <w:vAlign w:val="center"/>
            <w:tcMar>
              <w:top w:w="65" w:type="dxa"/>
              <w:start w:w="75" w:type="dxa"/>
              <w:bottom w:w="65" w:type="dxa"/>
              <w:end w:w="75" w:type="dxa"/>
            </w:tcMar>
          </w:tcPr>
          <w:p>
            <w:pPr>
              <w:spacing w:after="0" w:line="259" w:lineRule="auto"/>
            </w:pPr>
            <w:r>
              <w:rPr>
                <w:rFonts w:ascii="Lato" w:hAnsi="Lato"/>
                <w:color w:val="202D33"/>
                <w:sz w:val="14"/>
              </w:rPr>
              <w:t>Use S3 if access works; Bedrock if approved model and cost allow; no mandatory EKS/CKAN.</w:t>
            </w:r>
          </w:p>
        </w:tc>
      </w:tr>
      <w:tr>
        <w:trPr>
          <w:cantSplit/>
        </w:trPr>
        <w:tc>
          <w:tcPr>
            <w:tcW w:type="dxa" w:w="2232"/>
            <w:vAlign w:val="center"/>
            <w:tcMar>
              <w:top w:w="65" w:type="dxa"/>
              <w:start w:w="75" w:type="dxa"/>
              <w:bottom w:w="65" w:type="dxa"/>
              <w:end w:w="75" w:type="dxa"/>
            </w:tcMar>
            <w:shd w:fill="F0F5F5"/>
          </w:tcPr>
          <w:p>
            <w:pPr>
              <w:spacing w:after="0" w:line="259" w:lineRule="auto"/>
            </w:pPr>
            <w:r>
              <w:rPr>
                <w:rFonts w:ascii="Lato" w:hAnsi="Lato"/>
                <w:color w:val="202D33"/>
                <w:sz w:val="14"/>
              </w:rPr>
              <w:t>Public deploy URL</w:t>
            </w:r>
          </w:p>
        </w:tc>
        <w:tc>
          <w:tcPr>
            <w:tcW w:type="dxa" w:w="1642"/>
            <w:vAlign w:val="center"/>
            <w:tcMar>
              <w:top w:w="65" w:type="dxa"/>
              <w:start w:w="75" w:type="dxa"/>
              <w:bottom w:w="65" w:type="dxa"/>
              <w:end w:w="75" w:type="dxa"/>
            </w:tcMar>
            <w:shd w:fill="F0F5F5"/>
          </w:tcPr>
          <w:p>
            <w:pPr>
              <w:spacing w:after="0" w:line="259" w:lineRule="auto"/>
            </w:pPr>
            <w:r>
              <w:rPr>
                <w:rFonts w:ascii="Lato" w:hAnsi="Lato"/>
                <w:color w:val="202D33"/>
                <w:sz w:val="14"/>
              </w:rPr>
              <w:t>RELEASE GATE</w:t>
            </w:r>
          </w:p>
        </w:tc>
        <w:tc>
          <w:tcPr>
            <w:tcW w:type="dxa" w:w="5947"/>
            <w:vAlign w:val="center"/>
            <w:tcMar>
              <w:top w:w="65" w:type="dxa"/>
              <w:start w:w="75" w:type="dxa"/>
              <w:bottom w:w="65" w:type="dxa"/>
              <w:end w:w="75" w:type="dxa"/>
            </w:tcMar>
            <w:shd w:fill="F0F5F5"/>
          </w:tcPr>
          <w:p>
            <w:pPr>
              <w:spacing w:after="0" w:line="259" w:lineRule="auto"/>
            </w:pPr>
            <w:r>
              <w:rPr>
                <w:rFonts w:ascii="Lato" w:hAnsi="Lato"/>
                <w:color w:val="202D33"/>
                <w:sz w:val="14"/>
              </w:rPr>
              <w:t>Try reliable hosting, retain fully offline local launch and demo backup.</w:t>
            </w:r>
          </w:p>
        </w:tc>
      </w:tr>
    </w:tbl>
    <w:p>
      <w:pPr>
        <w:spacing w:after="40"/>
      </w:pPr>
    </w:p>
    <w:p>
      <w:pPr>
        <w:pStyle w:val="Heading2"/>
      </w:pPr>
      <w:r>
        <w:t>16.1 Definition of release-ready</w:t>
      </w:r>
    </w:p>
    <w:p>
      <w:r>
        <w:t>Release requires the P0 feature set to be implemented, independently testable, and fully integrated. Every required module must have a testable implementation; any simplified environmental method must show its domain, assumptions and limitations. If a verified dataset cannot be sourced, the final demonstration MUST remain clearly identified as synthetic or mixed-evidence, not quietly upgraded to a real-city evidence claim.</w:t>
      </w:r>
    </w:p>
    <w:p>
      <w:pPr>
        <w:pStyle w:val="Heading2"/>
      </w:pPr>
      <w:r>
        <w:t>16.2 Team handoff matrix by code boundary</w:t>
      </w:r>
    </w:p>
    <w:tbl>
      <w:tblPr>
        <w:tblW w:type="auto" w:w="0"/>
        <w:jc w:val="center"/>
        <w:tblLayout w:type="fixed"/>
        <w:tblLook w:firstColumn="1" w:firstRow="1" w:lastColumn="0" w:lastRow="0" w:noHBand="0" w:noVBand="1" w:val="04A0"/>
      </w:tblPr>
      <w:tblGrid>
        <w:gridCol w:w="2650"/>
        <w:gridCol w:w="3427"/>
        <w:gridCol w:w="3744"/>
      </w:tblGrid>
      <w:tr>
        <w:trPr>
          <w:tblHeader w:val="true"/>
          <w:cantSplit/>
        </w:trPr>
        <w:tc>
          <w:tcPr>
            <w:tcW w:type="dxa" w:w="2650"/>
            <w:shd w:fill="143A49"/>
            <w:tcMar>
              <w:top w:w="85" w:type="dxa"/>
              <w:start w:w="85" w:type="dxa"/>
              <w:bottom w:w="85" w:type="dxa"/>
              <w:end w:w="85" w:type="dxa"/>
            </w:tcMar>
          </w:tcPr>
          <w:p>
            <w:pPr>
              <w:spacing w:after="0"/>
            </w:pPr>
            <w:r>
              <w:rPr>
                <w:rFonts w:ascii="Lato" w:hAnsi="Lato"/>
                <w:b/>
                <w:color w:val="FFFFFF"/>
                <w:sz w:val="14"/>
              </w:rPr>
              <w:t>Owner / files</w:t>
            </w:r>
          </w:p>
        </w:tc>
        <w:tc>
          <w:tcPr>
            <w:tcW w:type="dxa" w:w="3427"/>
            <w:shd w:fill="143A49"/>
            <w:tcMar>
              <w:top w:w="85" w:type="dxa"/>
              <w:start w:w="85" w:type="dxa"/>
              <w:bottom w:w="85" w:type="dxa"/>
              <w:end w:w="85" w:type="dxa"/>
            </w:tcMar>
          </w:tcPr>
          <w:p>
            <w:pPr>
              <w:spacing w:after="0"/>
            </w:pPr>
            <w:r>
              <w:rPr>
                <w:rFonts w:ascii="Lato" w:hAnsi="Lato"/>
                <w:b/>
                <w:color w:val="FFFFFF"/>
                <w:sz w:val="14"/>
              </w:rPr>
              <w:t>Input contract</w:t>
            </w:r>
          </w:p>
        </w:tc>
        <w:tc>
          <w:tcPr>
            <w:tcW w:type="dxa" w:w="3744"/>
            <w:shd w:fill="143A49"/>
            <w:tcMar>
              <w:top w:w="85" w:type="dxa"/>
              <w:start w:w="85" w:type="dxa"/>
              <w:bottom w:w="85" w:type="dxa"/>
              <w:end w:w="85" w:type="dxa"/>
            </w:tcMar>
          </w:tcPr>
          <w:p>
            <w:pPr>
              <w:spacing w:after="0"/>
            </w:pPr>
            <w:r>
              <w:rPr>
                <w:rFonts w:ascii="Lato" w:hAnsi="Lato"/>
                <w:b/>
                <w:color w:val="FFFFFF"/>
                <w:sz w:val="14"/>
              </w:rPr>
              <w:t>Output / acceptance</w:t>
            </w:r>
          </w:p>
        </w:tc>
      </w:tr>
      <w:tr>
        <w:trPr>
          <w:cantSplit/>
        </w:trPr>
        <w:tc>
          <w:tcPr>
            <w:tcW w:type="dxa" w:w="2650"/>
            <w:vAlign w:val="center"/>
            <w:tcMar>
              <w:top w:w="65" w:type="dxa"/>
              <w:start w:w="75" w:type="dxa"/>
              <w:bottom w:w="65" w:type="dxa"/>
              <w:end w:w="75" w:type="dxa"/>
            </w:tcMar>
          </w:tcPr>
          <w:p>
            <w:pPr>
              <w:spacing w:after="0" w:line="259" w:lineRule="auto"/>
            </w:pPr>
            <w:r>
              <w:rPr>
                <w:rFonts w:ascii="Lato" w:hAnsi="Lato"/>
                <w:color w:val="202D33"/>
                <w:sz w:val="14"/>
              </w:rPr>
              <w:t>Environmental modeller: physical_models.py, baseline.py, data/</w:t>
            </w:r>
          </w:p>
        </w:tc>
        <w:tc>
          <w:tcPr>
            <w:tcW w:type="dxa" w:w="3427"/>
            <w:vAlign w:val="center"/>
            <w:tcMar>
              <w:top w:w="65" w:type="dxa"/>
              <w:start w:w="75" w:type="dxa"/>
              <w:bottom w:w="65" w:type="dxa"/>
              <w:end w:w="75" w:type="dxa"/>
            </w:tcMar>
          </w:tcPr>
          <w:p>
            <w:pPr>
              <w:spacing w:after="0" w:line="259" w:lineRule="auto"/>
            </w:pPr>
            <w:r>
              <w:rPr>
                <w:rFonts w:ascii="Lato" w:hAnsi="Lato"/>
                <w:color w:val="202D33"/>
                <w:sz w:val="14"/>
              </w:rPr>
              <w:t>Validated baseline, scenario parameters, project dimensions.</w:t>
            </w:r>
          </w:p>
        </w:tc>
        <w:tc>
          <w:tcPr>
            <w:tcW w:type="dxa" w:w="3744"/>
            <w:vAlign w:val="center"/>
            <w:tcMar>
              <w:top w:w="65" w:type="dxa"/>
              <w:start w:w="75" w:type="dxa"/>
              <w:bottom w:w="65" w:type="dxa"/>
              <w:end w:w="75" w:type="dxa"/>
            </w:tcMar>
          </w:tcPr>
          <w:p>
            <w:pPr>
              <w:spacing w:after="0" w:line="259" w:lineRule="auto"/>
            </w:pPr>
            <w:r>
              <w:rPr>
                <w:rFonts w:ascii="Lato" w:hAnsi="Lato"/>
                <w:color w:val="202D33"/>
                <w:sz w:val="14"/>
              </w:rPr>
              <w:t>Per-project scenario benefits with physical units and source IDs; numerical fixtures pass.</w:t>
            </w:r>
          </w:p>
        </w:tc>
      </w:tr>
      <w:tr>
        <w:trPr>
          <w:cantSplit/>
        </w:trPr>
        <w:tc>
          <w:tcPr>
            <w:tcW w:type="dxa" w:w="2650"/>
            <w:vAlign w:val="center"/>
            <w:tcMar>
              <w:top w:w="65" w:type="dxa"/>
              <w:start w:w="75" w:type="dxa"/>
              <w:bottom w:w="65" w:type="dxa"/>
              <w:end w:w="75" w:type="dxa"/>
            </w:tcMar>
            <w:shd w:fill="F0F5F5"/>
          </w:tcPr>
          <w:p>
            <w:pPr>
              <w:spacing w:after="0" w:line="259" w:lineRule="auto"/>
            </w:pPr>
            <w:r>
              <w:rPr>
                <w:rFonts w:ascii="Lato" w:hAnsi="Lato"/>
                <w:color w:val="202D33"/>
                <w:sz w:val="14"/>
              </w:rPr>
              <w:t>Solver engineer: optimiser.py, equity.py</w:t>
            </w:r>
          </w:p>
        </w:tc>
        <w:tc>
          <w:tcPr>
            <w:tcW w:type="dxa" w:w="3427"/>
            <w:vAlign w:val="center"/>
            <w:tcMar>
              <w:top w:w="65" w:type="dxa"/>
              <w:start w:w="75" w:type="dxa"/>
              <w:bottom w:w="65" w:type="dxa"/>
              <w:end w:w="75" w:type="dxa"/>
            </w:tcMar>
            <w:shd w:fill="F0F5F5"/>
          </w:tcPr>
          <w:p>
            <w:pPr>
              <w:spacing w:after="0" w:line="259" w:lineRule="auto"/>
            </w:pPr>
            <w:r>
              <w:rPr>
                <w:rFonts w:ascii="Lato" w:hAnsi="Lato"/>
                <w:color w:val="202D33"/>
                <w:sz w:val="14"/>
              </w:rPr>
              <w:t>Feasible projects, coefficients, limits, user priorities.</w:t>
            </w:r>
          </w:p>
        </w:tc>
        <w:tc>
          <w:tcPr>
            <w:tcW w:type="dxa" w:w="3744"/>
            <w:vAlign w:val="center"/>
            <w:tcMar>
              <w:top w:w="65" w:type="dxa"/>
              <w:start w:w="75" w:type="dxa"/>
              <w:bottom w:w="65" w:type="dxa"/>
              <w:end w:w="75" w:type="dxa"/>
            </w:tcMar>
            <w:shd w:fill="F0F5F5"/>
          </w:tcPr>
          <w:p>
            <w:pPr>
              <w:spacing w:after="0" w:line="259" w:lineRule="auto"/>
            </w:pPr>
            <w:r>
              <w:rPr>
                <w:rFonts w:ascii="Lato" w:hAnsi="Lato"/>
                <w:color w:val="202D33"/>
                <w:sz w:val="14"/>
              </w:rPr>
              <w:t>SolverResult with status, selected x, objective parts, constraint slacks; oracle tests pass.</w:t>
            </w:r>
          </w:p>
        </w:tc>
      </w:tr>
      <w:tr>
        <w:trPr>
          <w:cantSplit/>
        </w:trPr>
        <w:tc>
          <w:tcPr>
            <w:tcW w:type="dxa" w:w="2650"/>
            <w:vAlign w:val="center"/>
            <w:tcMar>
              <w:top w:w="65" w:type="dxa"/>
              <w:start w:w="75" w:type="dxa"/>
              <w:bottom w:w="65" w:type="dxa"/>
              <w:end w:w="75" w:type="dxa"/>
            </w:tcMar>
          </w:tcPr>
          <w:p>
            <w:pPr>
              <w:spacing w:after="0" w:line="259" w:lineRule="auto"/>
            </w:pPr>
            <w:r>
              <w:rPr>
                <w:rFonts w:ascii="Lato" w:hAnsi="Lato"/>
                <w:color w:val="202D33"/>
                <w:sz w:val="14"/>
              </w:rPr>
              <w:t>App/cloud engineer: app.py, pages/, services/</w:t>
            </w:r>
          </w:p>
        </w:tc>
        <w:tc>
          <w:tcPr>
            <w:tcW w:type="dxa" w:w="3427"/>
            <w:vAlign w:val="center"/>
            <w:tcMar>
              <w:top w:w="65" w:type="dxa"/>
              <w:start w:w="75" w:type="dxa"/>
              <w:bottom w:w="65" w:type="dxa"/>
              <w:end w:w="75" w:type="dxa"/>
            </w:tcMar>
          </w:tcPr>
          <w:p>
            <w:pPr>
              <w:spacing w:after="0" w:line="259" w:lineRule="auto"/>
            </w:pPr>
            <w:r>
              <w:rPr>
                <w:rFonts w:ascii="Lato" w:hAnsi="Lato"/>
                <w:color w:val="202D33"/>
                <w:sz w:val="14"/>
              </w:rPr>
              <w:t>Immutable RunResult and source records.</w:t>
            </w:r>
          </w:p>
        </w:tc>
        <w:tc>
          <w:tcPr>
            <w:tcW w:type="dxa" w:w="3744"/>
            <w:vAlign w:val="center"/>
            <w:tcMar>
              <w:top w:w="65" w:type="dxa"/>
              <w:start w:w="75" w:type="dxa"/>
              <w:bottom w:w="65" w:type="dxa"/>
              <w:end w:w="75" w:type="dxa"/>
            </w:tcMar>
          </w:tcPr>
          <w:p>
            <w:pPr>
              <w:spacing w:after="0" w:line="259" w:lineRule="auto"/>
            </w:pPr>
            <w:r>
              <w:rPr>
                <w:rFonts w:ascii="Lato" w:hAnsi="Lato"/>
                <w:color w:val="202D33"/>
                <w:sz w:val="14"/>
              </w:rPr>
              <w:t>Four usable tabs, saved history, S3/Bedrock optional, offline smoke test.</w:t>
            </w:r>
          </w:p>
        </w:tc>
      </w:tr>
      <w:tr>
        <w:trPr>
          <w:cantSplit/>
        </w:trPr>
        <w:tc>
          <w:tcPr>
            <w:tcW w:type="dxa" w:w="2650"/>
            <w:vAlign w:val="center"/>
            <w:tcMar>
              <w:top w:w="65" w:type="dxa"/>
              <w:start w:w="75" w:type="dxa"/>
              <w:bottom w:w="65" w:type="dxa"/>
              <w:end w:w="75" w:type="dxa"/>
            </w:tcMar>
            <w:shd w:fill="F0F5F5"/>
          </w:tcPr>
          <w:p>
            <w:pPr>
              <w:spacing w:after="0" w:line="259" w:lineRule="auto"/>
            </w:pPr>
            <w:r>
              <w:rPr>
                <w:rFonts w:ascii="Lato" w:hAnsi="Lato"/>
                <w:color w:val="202D33"/>
                <w:sz w:val="14"/>
              </w:rPr>
              <w:t>Anish: schemas.py, integration tests, docs/</w:t>
            </w:r>
          </w:p>
        </w:tc>
        <w:tc>
          <w:tcPr>
            <w:tcW w:type="dxa" w:w="3427"/>
            <w:vAlign w:val="center"/>
            <w:tcMar>
              <w:top w:w="65" w:type="dxa"/>
              <w:start w:w="75" w:type="dxa"/>
              <w:bottom w:w="65" w:type="dxa"/>
              <w:end w:w="75" w:type="dxa"/>
            </w:tcMar>
            <w:shd w:fill="F0F5F5"/>
          </w:tcPr>
          <w:p>
            <w:pPr>
              <w:spacing w:after="0" w:line="259" w:lineRule="auto"/>
            </w:pPr>
            <w:r>
              <w:rPr>
                <w:rFonts w:ascii="Lato" w:hAnsi="Lato"/>
                <w:color w:val="202D33"/>
                <w:sz w:val="14"/>
              </w:rPr>
              <w:t>All module outputs and official PS checklist.</w:t>
            </w:r>
          </w:p>
        </w:tc>
        <w:tc>
          <w:tcPr>
            <w:tcW w:type="dxa" w:w="3744"/>
            <w:vAlign w:val="center"/>
            <w:tcMar>
              <w:top w:w="65" w:type="dxa"/>
              <w:start w:w="75" w:type="dxa"/>
              <w:bottom w:w="65" w:type="dxa"/>
              <w:end w:w="75" w:type="dxa"/>
            </w:tcMar>
            <w:shd w:fill="F0F5F5"/>
          </w:tcPr>
          <w:p>
            <w:pPr>
              <w:spacing w:after="0" w:line="259" w:lineRule="auto"/>
            </w:pPr>
            <w:r>
              <w:rPr>
                <w:rFonts w:ascii="Lato" w:hAnsi="Lato"/>
                <w:color w:val="202D33"/>
                <w:sz w:val="14"/>
              </w:rPr>
              <w:t>Integrated validation, demo acceptance, sign-off and competition submission.</w:t>
            </w:r>
          </w:p>
        </w:tc>
      </w:tr>
    </w:tbl>
    <w:p>
      <w:pPr>
        <w:spacing w:after="40"/>
      </w:pPr>
    </w:p>
    <w:p>
      <w:pPr>
        <w:pStyle w:val="Heading1"/>
      </w:pPr>
      <w:r>
        <w:t>17. Research-to-implementation evidence map</w:t>
      </w:r>
    </w:p>
    <w:tbl>
      <w:tblPr>
        <w:tblW w:type="auto" w:w="0"/>
        <w:jc w:val="center"/>
        <w:tblLayout w:type="fixed"/>
        <w:tblLook w:firstColumn="1" w:firstRow="1" w:lastColumn="0" w:lastRow="0" w:noHBand="0" w:noVBand="1" w:val="04A0"/>
      </w:tblPr>
      <w:tblGrid>
        <w:gridCol w:w="1987"/>
        <w:gridCol w:w="4536"/>
        <w:gridCol w:w="3298"/>
      </w:tblGrid>
      <w:tr>
        <w:trPr>
          <w:tblHeader w:val="true"/>
          <w:cantSplit/>
        </w:trPr>
        <w:tc>
          <w:tcPr>
            <w:tcW w:type="dxa" w:w="1987"/>
            <w:shd w:fill="143A49"/>
            <w:tcMar>
              <w:top w:w="85" w:type="dxa"/>
              <w:start w:w="85" w:type="dxa"/>
              <w:bottom w:w="85" w:type="dxa"/>
              <w:end w:w="85" w:type="dxa"/>
            </w:tcMar>
          </w:tcPr>
          <w:p>
            <w:pPr>
              <w:spacing w:after="0"/>
            </w:pPr>
            <w:r>
              <w:rPr>
                <w:rFonts w:ascii="Lato" w:hAnsi="Lato"/>
                <w:b/>
                <w:color w:val="FFFFFF"/>
                <w:sz w:val="14"/>
              </w:rPr>
              <w:t>Reference</w:t>
            </w:r>
          </w:p>
        </w:tc>
        <w:tc>
          <w:tcPr>
            <w:tcW w:type="dxa" w:w="4536"/>
            <w:shd w:fill="143A49"/>
            <w:tcMar>
              <w:top w:w="85" w:type="dxa"/>
              <w:start w:w="85" w:type="dxa"/>
              <w:bottom w:w="85" w:type="dxa"/>
              <w:end w:w="85" w:type="dxa"/>
            </w:tcMar>
          </w:tcPr>
          <w:p>
            <w:pPr>
              <w:spacing w:after="0"/>
            </w:pPr>
            <w:r>
              <w:rPr>
                <w:rFonts w:ascii="Lato" w:hAnsi="Lato"/>
                <w:b/>
                <w:color w:val="FFFFFF"/>
                <w:sz w:val="14"/>
              </w:rPr>
              <w:t>Exact contribution to project</w:t>
            </w:r>
          </w:p>
        </w:tc>
        <w:tc>
          <w:tcPr>
            <w:tcW w:type="dxa" w:w="3298"/>
            <w:shd w:fill="143A49"/>
            <w:tcMar>
              <w:top w:w="85" w:type="dxa"/>
              <w:start w:w="85" w:type="dxa"/>
              <w:bottom w:w="85" w:type="dxa"/>
              <w:end w:w="85" w:type="dxa"/>
            </w:tcMar>
          </w:tcPr>
          <w:p>
            <w:pPr>
              <w:spacing w:after="0"/>
            </w:pPr>
            <w:r>
              <w:rPr>
                <w:rFonts w:ascii="Lato" w:hAnsi="Lato"/>
                <w:b/>
                <w:color w:val="FFFFFF"/>
                <w:sz w:val="14"/>
              </w:rPr>
              <w:t>Do not overclaim</w:t>
            </w:r>
          </w:p>
        </w:tc>
      </w:tr>
      <w:tr>
        <w:trPr>
          <w:cantSplit/>
        </w:trPr>
        <w:tc>
          <w:tcPr>
            <w:tcW w:type="dxa" w:w="1987"/>
            <w:vAlign w:val="center"/>
            <w:tcMar>
              <w:top w:w="65" w:type="dxa"/>
              <w:start w:w="75" w:type="dxa"/>
              <w:bottom w:w="65" w:type="dxa"/>
              <w:end w:w="75" w:type="dxa"/>
            </w:tcMar>
          </w:tcPr>
          <w:p>
            <w:pPr>
              <w:spacing w:after="0" w:line="259" w:lineRule="auto"/>
            </w:pPr>
            <w:r>
              <w:rPr>
                <w:rFonts w:ascii="Lato" w:hAnsi="Lato"/>
                <w:color w:val="202D33"/>
                <w:sz w:val="14"/>
              </w:rPr>
              <w:t>[PS]</w:t>
            </w:r>
          </w:p>
        </w:tc>
        <w:tc>
          <w:tcPr>
            <w:tcW w:type="dxa" w:w="4536"/>
            <w:vAlign w:val="center"/>
            <w:tcMar>
              <w:top w:w="65" w:type="dxa"/>
              <w:start w:w="75" w:type="dxa"/>
              <w:bottom w:w="65" w:type="dxa"/>
              <w:end w:w="75" w:type="dxa"/>
            </w:tcMar>
          </w:tcPr>
          <w:p>
            <w:pPr>
              <w:spacing w:after="0" w:line="259" w:lineRule="auto"/>
            </w:pPr>
            <w:r>
              <w:rPr>
                <w:rFonts w:ascii="Lato" w:hAnsi="Lato"/>
                <w:color w:val="202D33"/>
                <w:sz w:val="14"/>
              </w:rPr>
              <w:t>Mandatory scope, interventions, scenarios, AWS service suggestions and expected decision outcomes.</w:t>
            </w:r>
          </w:p>
        </w:tc>
        <w:tc>
          <w:tcPr>
            <w:tcW w:type="dxa" w:w="3298"/>
            <w:vAlign w:val="center"/>
            <w:tcMar>
              <w:top w:w="65" w:type="dxa"/>
              <w:start w:w="75" w:type="dxa"/>
              <w:bottom w:w="65" w:type="dxa"/>
              <w:end w:w="75" w:type="dxa"/>
            </w:tcMar>
          </w:tcPr>
          <w:p>
            <w:pPr>
              <w:spacing w:after="0" w:line="259" w:lineRule="auto"/>
            </w:pPr>
            <w:r>
              <w:rPr>
                <w:rFonts w:ascii="Lato" w:hAnsi="Lato"/>
                <w:color w:val="202D33"/>
                <w:sz w:val="14"/>
              </w:rPr>
              <w:t>Does not supply specific data, methods or validated coefficients.</w:t>
            </w:r>
          </w:p>
        </w:tc>
      </w:tr>
      <w:tr>
        <w:trPr>
          <w:cantSplit/>
        </w:trPr>
        <w:tc>
          <w:tcPr>
            <w:tcW w:type="dxa" w:w="1987"/>
            <w:vAlign w:val="center"/>
            <w:tcMar>
              <w:top w:w="65" w:type="dxa"/>
              <w:start w:w="75" w:type="dxa"/>
              <w:bottom w:w="65" w:type="dxa"/>
              <w:end w:w="75" w:type="dxa"/>
            </w:tcMar>
            <w:shd w:fill="F0F5F5"/>
          </w:tcPr>
          <w:p>
            <w:pPr>
              <w:spacing w:after="0" w:line="259" w:lineRule="auto"/>
            </w:pPr>
            <w:r>
              <w:rPr>
                <w:rFonts w:ascii="Lato" w:hAnsi="Lato"/>
                <w:color w:val="202D33"/>
                <w:sz w:val="14"/>
              </w:rPr>
              <w:t>[BP]</w:t>
            </w:r>
          </w:p>
        </w:tc>
        <w:tc>
          <w:tcPr>
            <w:tcW w:type="dxa" w:w="4536"/>
            <w:vAlign w:val="center"/>
            <w:tcMar>
              <w:top w:w="65" w:type="dxa"/>
              <w:start w:w="75" w:type="dxa"/>
              <w:bottom w:w="65" w:type="dxa"/>
              <w:end w:w="75" w:type="dxa"/>
            </w:tcMar>
            <w:shd w:fill="F0F5F5"/>
          </w:tcPr>
          <w:p>
            <w:pPr>
              <w:spacing w:after="0" w:line="259" w:lineRule="auto"/>
            </w:pPr>
            <w:r>
              <w:rPr>
                <w:rFonts w:ascii="Lato" w:hAnsi="Lato"/>
                <w:color w:val="202D33"/>
                <w:sz w:val="14"/>
              </w:rPr>
              <w:t>Typed contracts, data gaps, score breakdown, immutable run IDs, clear service boundaries.</w:t>
            </w:r>
          </w:p>
        </w:tc>
        <w:tc>
          <w:tcPr>
            <w:tcW w:type="dxa" w:w="3298"/>
            <w:vAlign w:val="center"/>
            <w:tcMar>
              <w:top w:w="65" w:type="dxa"/>
              <w:start w:w="75" w:type="dxa"/>
              <w:bottom w:w="65" w:type="dxa"/>
              <w:end w:w="75" w:type="dxa"/>
            </w:tcMar>
            <w:shd w:fill="F0F5F5"/>
          </w:tcPr>
          <w:p>
            <w:pPr>
              <w:spacing w:after="0" w:line="259" w:lineRule="auto"/>
            </w:pPr>
            <w:r>
              <w:rPr>
                <w:rFonts w:ascii="Lato" w:hAnsi="Lato"/>
                <w:color w:val="202D33"/>
                <w:sz w:val="14"/>
              </w:rPr>
              <w:t>Its toy additive simulator and CKAN/EKS architecture are not required for this MVP.</w:t>
            </w:r>
          </w:p>
        </w:tc>
      </w:tr>
      <w:tr>
        <w:trPr>
          <w:cantSplit/>
        </w:trPr>
        <w:tc>
          <w:tcPr>
            <w:tcW w:type="dxa" w:w="1987"/>
            <w:vAlign w:val="center"/>
            <w:tcMar>
              <w:top w:w="65" w:type="dxa"/>
              <w:start w:w="75" w:type="dxa"/>
              <w:bottom w:w="65" w:type="dxa"/>
              <w:end w:w="75" w:type="dxa"/>
            </w:tcMar>
          </w:tcPr>
          <w:p>
            <w:pPr>
              <w:spacing w:after="0" w:line="259" w:lineRule="auto"/>
            </w:pPr>
            <w:r>
              <w:rPr>
                <w:rFonts w:ascii="Lato" w:hAnsi="Lato"/>
                <w:color w:val="202D33"/>
                <w:sz w:val="14"/>
              </w:rPr>
              <w:t>[R1] ATREE Bengaluru</w:t>
            </w:r>
          </w:p>
        </w:tc>
        <w:tc>
          <w:tcPr>
            <w:tcW w:type="dxa" w:w="4536"/>
            <w:vAlign w:val="center"/>
            <w:tcMar>
              <w:top w:w="65" w:type="dxa"/>
              <w:start w:w="75" w:type="dxa"/>
              <w:bottom w:w="65" w:type="dxa"/>
              <w:end w:w="75" w:type="dxa"/>
            </w:tcMar>
          </w:tcPr>
          <w:p>
            <w:pPr>
              <w:spacing w:after="0" w:line="259" w:lineRule="auto"/>
            </w:pPr>
            <w:r>
              <w:rPr>
                <w:rFonts w:ascii="Lato" w:hAnsi="Lato"/>
                <w:color w:val="202D33"/>
                <w:sz w:val="14"/>
              </w:rPr>
              <w:t>Catchment framing; flood hazard/exposure/vulnerability distinction; local study context.</w:t>
            </w:r>
          </w:p>
        </w:tc>
        <w:tc>
          <w:tcPr>
            <w:tcW w:type="dxa" w:w="3298"/>
            <w:vAlign w:val="center"/>
            <w:tcMar>
              <w:top w:w="65" w:type="dxa"/>
              <w:start w:w="75" w:type="dxa"/>
              <w:bottom w:w="65" w:type="dxa"/>
              <w:end w:w="75" w:type="dxa"/>
            </w:tcMar>
          </w:tcPr>
          <w:p>
            <w:pPr>
              <w:spacing w:after="0" w:line="259" w:lineRule="auto"/>
            </w:pPr>
            <w:r>
              <w:rPr>
                <w:rFonts w:ascii="Lato" w:hAnsi="Lato"/>
                <w:color w:val="202D33"/>
                <w:sz w:val="14"/>
              </w:rPr>
              <w:t>Its calibrated HEC-HMS/HEC-RAS findings are not automatically reproduced by our screening model.</w:t>
            </w:r>
          </w:p>
        </w:tc>
      </w:tr>
      <w:tr>
        <w:trPr>
          <w:cantSplit/>
        </w:trPr>
        <w:tc>
          <w:tcPr>
            <w:tcW w:type="dxa" w:w="1987"/>
            <w:vAlign w:val="center"/>
            <w:tcMar>
              <w:top w:w="65" w:type="dxa"/>
              <w:start w:w="75" w:type="dxa"/>
              <w:bottom w:w="65" w:type="dxa"/>
              <w:end w:w="75" w:type="dxa"/>
            </w:tcMar>
            <w:shd w:fill="F0F5F5"/>
          </w:tcPr>
          <w:p>
            <w:pPr>
              <w:spacing w:after="0" w:line="259" w:lineRule="auto"/>
            </w:pPr>
            <w:r>
              <w:rPr>
                <w:rFonts w:ascii="Lato" w:hAnsi="Lato"/>
                <w:color w:val="202D33"/>
                <w:sz w:val="14"/>
              </w:rPr>
              <w:t>[R2] Leng et al.</w:t>
            </w:r>
          </w:p>
        </w:tc>
        <w:tc>
          <w:tcPr>
            <w:tcW w:type="dxa" w:w="4536"/>
            <w:vAlign w:val="center"/>
            <w:tcMar>
              <w:top w:w="65" w:type="dxa"/>
              <w:start w:w="75" w:type="dxa"/>
              <w:bottom w:w="65" w:type="dxa"/>
              <w:end w:w="75" w:type="dxa"/>
            </w:tcMar>
            <w:shd w:fill="F0F5F5"/>
          </w:tcPr>
          <w:p>
            <w:pPr>
              <w:spacing w:after="0" w:line="259" w:lineRule="auto"/>
            </w:pPr>
            <w:r>
              <w:rPr>
                <w:rFonts w:ascii="Lato" w:hAnsi="Lato"/>
                <w:color w:val="202D33"/>
                <w:sz w:val="14"/>
              </w:rPr>
              <w:t>Joint green–grey optimisation and explicit uncertain climate conditions.</w:t>
            </w:r>
          </w:p>
        </w:tc>
        <w:tc>
          <w:tcPr>
            <w:tcW w:type="dxa" w:w="3298"/>
            <w:vAlign w:val="center"/>
            <w:tcMar>
              <w:top w:w="65" w:type="dxa"/>
              <w:start w:w="75" w:type="dxa"/>
              <w:bottom w:w="65" w:type="dxa"/>
              <w:end w:w="75" w:type="dxa"/>
            </w:tcMar>
            <w:shd w:fill="F0F5F5"/>
          </w:tcPr>
          <w:p>
            <w:pPr>
              <w:spacing w:after="0" w:line="259" w:lineRule="auto"/>
            </w:pPr>
            <w:r>
              <w:rPr>
                <w:rFonts w:ascii="Lato" w:hAnsi="Lato"/>
                <w:color w:val="202D33"/>
                <w:sz w:val="14"/>
              </w:rPr>
              <w:t>Its outcomes or model parameters are not transplanted to Bengaluru.</w:t>
            </w:r>
          </w:p>
        </w:tc>
      </w:tr>
      <w:tr>
        <w:trPr>
          <w:cantSplit/>
        </w:trPr>
        <w:tc>
          <w:tcPr>
            <w:tcW w:type="dxa" w:w="1987"/>
            <w:vAlign w:val="center"/>
            <w:tcMar>
              <w:top w:w="65" w:type="dxa"/>
              <w:start w:w="75" w:type="dxa"/>
              <w:bottom w:w="65" w:type="dxa"/>
              <w:end w:w="75" w:type="dxa"/>
            </w:tcMar>
          </w:tcPr>
          <w:p>
            <w:pPr>
              <w:spacing w:after="0" w:line="259" w:lineRule="auto"/>
            </w:pPr>
            <w:r>
              <w:rPr>
                <w:rFonts w:ascii="Lato" w:hAnsi="Lato"/>
                <w:color w:val="202D33"/>
                <w:sz w:val="14"/>
              </w:rPr>
              <w:t>[R3] Manivasagam et al.</w:t>
            </w:r>
          </w:p>
        </w:tc>
        <w:tc>
          <w:tcPr>
            <w:tcW w:type="dxa" w:w="4536"/>
            <w:vAlign w:val="center"/>
            <w:tcMar>
              <w:top w:w="65" w:type="dxa"/>
              <w:start w:w="75" w:type="dxa"/>
              <w:bottom w:w="65" w:type="dxa"/>
              <w:end w:w="75" w:type="dxa"/>
            </w:tcMar>
          </w:tcPr>
          <w:p>
            <w:pPr>
              <w:spacing w:after="0" w:line="259" w:lineRule="auto"/>
            </w:pPr>
            <w:r>
              <w:rPr>
                <w:rFonts w:ascii="Lato" w:hAnsi="Lato"/>
                <w:color w:val="202D33"/>
                <w:sz w:val="14"/>
              </w:rPr>
              <w:t>Building-footprint-based rooftop assessment and water feasibility workflow.</w:t>
            </w:r>
          </w:p>
        </w:tc>
        <w:tc>
          <w:tcPr>
            <w:tcW w:type="dxa" w:w="3298"/>
            <w:vAlign w:val="center"/>
            <w:tcMar>
              <w:top w:w="65" w:type="dxa"/>
              <w:start w:w="75" w:type="dxa"/>
              <w:bottom w:w="65" w:type="dxa"/>
              <w:end w:w="75" w:type="dxa"/>
            </w:tcMar>
          </w:tcPr>
          <w:p>
            <w:pPr>
              <w:spacing w:after="0" w:line="259" w:lineRule="auto"/>
            </w:pPr>
            <w:r>
              <w:rPr>
                <w:rFonts w:ascii="Lato" w:hAnsi="Lato"/>
                <w:color w:val="202D33"/>
                <w:sz w:val="14"/>
              </w:rPr>
              <w:t>Rooftop footprints do not prove structural eligibility.</w:t>
            </w:r>
          </w:p>
        </w:tc>
      </w:tr>
      <w:tr>
        <w:trPr>
          <w:cantSplit/>
        </w:trPr>
        <w:tc>
          <w:tcPr>
            <w:tcW w:type="dxa" w:w="1987"/>
            <w:vAlign w:val="center"/>
            <w:tcMar>
              <w:top w:w="65" w:type="dxa"/>
              <w:start w:w="75" w:type="dxa"/>
              <w:bottom w:w="65" w:type="dxa"/>
              <w:end w:w="75" w:type="dxa"/>
            </w:tcMar>
            <w:shd w:fill="F0F5F5"/>
          </w:tcPr>
          <w:p>
            <w:pPr>
              <w:spacing w:after="0" w:line="259" w:lineRule="auto"/>
            </w:pPr>
            <w:r>
              <w:rPr>
                <w:rFonts w:ascii="Lato" w:hAnsi="Lato"/>
                <w:color w:val="202D33"/>
                <w:sz w:val="14"/>
              </w:rPr>
              <w:t>[R4] Gobatti et al.</w:t>
            </w:r>
          </w:p>
        </w:tc>
        <w:tc>
          <w:tcPr>
            <w:tcW w:type="dxa" w:w="4536"/>
            <w:vAlign w:val="center"/>
            <w:tcMar>
              <w:top w:w="65" w:type="dxa"/>
              <w:start w:w="75" w:type="dxa"/>
              <w:bottom w:w="65" w:type="dxa"/>
              <w:end w:w="75" w:type="dxa"/>
            </w:tcMar>
            <w:shd w:fill="F0F5F5"/>
          </w:tcPr>
          <w:p>
            <w:pPr>
              <w:spacing w:after="0" w:line="259" w:lineRule="auto"/>
            </w:pPr>
            <w:r>
              <w:rPr>
                <w:rFonts w:ascii="Lato" w:hAnsi="Lato"/>
                <w:color w:val="202D33"/>
                <w:sz w:val="14"/>
              </w:rPr>
              <w:t>Soil moisture and urban form affect tree cooling; drought reduces certainty.</w:t>
            </w:r>
          </w:p>
        </w:tc>
        <w:tc>
          <w:tcPr>
            <w:tcW w:type="dxa" w:w="3298"/>
            <w:vAlign w:val="center"/>
            <w:tcMar>
              <w:top w:w="65" w:type="dxa"/>
              <w:start w:w="75" w:type="dxa"/>
              <w:bottom w:w="65" w:type="dxa"/>
              <w:end w:w="75" w:type="dxa"/>
            </w:tcMar>
            <w:shd w:fill="F0F5F5"/>
          </w:tcPr>
          <w:p>
            <w:pPr>
              <w:spacing w:after="0" w:line="259" w:lineRule="auto"/>
            </w:pPr>
            <w:r>
              <w:rPr>
                <w:rFonts w:ascii="Lato" w:hAnsi="Lato"/>
                <w:color w:val="202D33"/>
                <w:sz w:val="14"/>
              </w:rPr>
              <w:t>Zurich cooling magnitudes cannot be used as Bengaluru observations.</w:t>
            </w:r>
          </w:p>
        </w:tc>
      </w:tr>
      <w:tr>
        <w:trPr>
          <w:cantSplit/>
        </w:trPr>
        <w:tc>
          <w:tcPr>
            <w:tcW w:type="dxa" w:w="1987"/>
            <w:vAlign w:val="center"/>
            <w:tcMar>
              <w:top w:w="65" w:type="dxa"/>
              <w:start w:w="75" w:type="dxa"/>
              <w:bottom w:w="65" w:type="dxa"/>
              <w:end w:w="75" w:type="dxa"/>
            </w:tcMar>
          </w:tcPr>
          <w:p>
            <w:pPr>
              <w:spacing w:after="0" w:line="259" w:lineRule="auto"/>
            </w:pPr>
            <w:r>
              <w:rPr>
                <w:rFonts w:ascii="Lato" w:hAnsi="Lato"/>
                <w:color w:val="202D33"/>
                <w:sz w:val="14"/>
              </w:rPr>
              <w:t>[R5] Nathawat et al.</w:t>
            </w:r>
          </w:p>
        </w:tc>
        <w:tc>
          <w:tcPr>
            <w:tcW w:type="dxa" w:w="4536"/>
            <w:vAlign w:val="center"/>
            <w:tcMar>
              <w:top w:w="65" w:type="dxa"/>
              <w:start w:w="75" w:type="dxa"/>
              <w:bottom w:w="65" w:type="dxa"/>
              <w:end w:w="75" w:type="dxa"/>
            </w:tcMar>
          </w:tcPr>
          <w:p>
            <w:pPr>
              <w:spacing w:after="0" w:line="259" w:lineRule="auto"/>
            </w:pPr>
            <w:r>
              <w:rPr>
                <w:rFonts w:ascii="Lato" w:hAnsi="Lato"/>
                <w:color w:val="202D33"/>
                <w:sz w:val="14"/>
              </w:rPr>
              <w:t>Suitability logic using land cover, temperature, moisture, slope and rainfall.</w:t>
            </w:r>
          </w:p>
        </w:tc>
        <w:tc>
          <w:tcPr>
            <w:tcW w:type="dxa" w:w="3298"/>
            <w:vAlign w:val="center"/>
            <w:tcMar>
              <w:top w:w="65" w:type="dxa"/>
              <w:start w:w="75" w:type="dxa"/>
              <w:bottom w:w="65" w:type="dxa"/>
              <w:end w:w="75" w:type="dxa"/>
            </w:tcMar>
          </w:tcPr>
          <w:p>
            <w:pPr>
              <w:spacing w:after="0" w:line="259" w:lineRule="auto"/>
            </w:pPr>
            <w:r>
              <w:rPr>
                <w:rFonts w:ascii="Lato" w:hAnsi="Lato"/>
                <w:color w:val="202D33"/>
                <w:sz w:val="14"/>
              </w:rPr>
              <w:t>Jaipur-specific weights/results are not Bengaluru coefficients.</w:t>
            </w:r>
          </w:p>
        </w:tc>
      </w:tr>
      <w:tr>
        <w:trPr>
          <w:cantSplit/>
        </w:trPr>
        <w:tc>
          <w:tcPr>
            <w:tcW w:type="dxa" w:w="1987"/>
            <w:vAlign w:val="center"/>
            <w:tcMar>
              <w:top w:w="65" w:type="dxa"/>
              <w:start w:w="75" w:type="dxa"/>
              <w:bottom w:w="65" w:type="dxa"/>
              <w:end w:w="75" w:type="dxa"/>
            </w:tcMar>
            <w:shd w:fill="F0F5F5"/>
          </w:tcPr>
          <w:p>
            <w:pPr>
              <w:spacing w:after="0" w:line="259" w:lineRule="auto"/>
            </w:pPr>
            <w:r>
              <w:rPr>
                <w:rFonts w:ascii="Lato" w:hAnsi="Lato"/>
                <w:color w:val="202D33"/>
                <w:sz w:val="14"/>
              </w:rPr>
              <w:t>[R6] Pan et al.</w:t>
            </w:r>
          </w:p>
        </w:tc>
        <w:tc>
          <w:tcPr>
            <w:tcW w:type="dxa" w:w="4536"/>
            <w:vAlign w:val="center"/>
            <w:tcMar>
              <w:top w:w="65" w:type="dxa"/>
              <w:start w:w="75" w:type="dxa"/>
              <w:bottom w:w="65" w:type="dxa"/>
              <w:end w:w="75" w:type="dxa"/>
            </w:tcMar>
            <w:shd w:fill="F0F5F5"/>
          </w:tcPr>
          <w:p>
            <w:pPr>
              <w:spacing w:after="0" w:line="259" w:lineRule="auto"/>
            </w:pPr>
            <w:r>
              <w:rPr>
                <w:rFonts w:ascii="Lato" w:hAnsi="Lato"/>
                <w:color w:val="202D33"/>
                <w:sz w:val="14"/>
              </w:rPr>
              <w:t>Direct and indirect carbon pathways, resource-saving interactions and spatial priorities.</w:t>
            </w:r>
          </w:p>
        </w:tc>
        <w:tc>
          <w:tcPr>
            <w:tcW w:type="dxa" w:w="3298"/>
            <w:vAlign w:val="center"/>
            <w:tcMar>
              <w:top w:w="65" w:type="dxa"/>
              <w:start w:w="75" w:type="dxa"/>
              <w:bottom w:w="65" w:type="dxa"/>
              <w:end w:w="75" w:type="dxa"/>
            </w:tcMar>
            <w:shd w:fill="F0F5F5"/>
          </w:tcPr>
          <w:p>
            <w:pPr>
              <w:spacing w:after="0" w:line="259" w:lineRule="auto"/>
            </w:pPr>
            <w:r>
              <w:rPr>
                <w:rFonts w:ascii="Lato" w:hAnsi="Lato"/>
                <w:color w:val="202D33"/>
                <w:sz w:val="14"/>
              </w:rPr>
              <w:t>EU carbon reduction percentages are not a local factor.</w:t>
            </w:r>
          </w:p>
        </w:tc>
      </w:tr>
      <w:tr>
        <w:trPr>
          <w:cantSplit/>
        </w:trPr>
        <w:tc>
          <w:tcPr>
            <w:tcW w:type="dxa" w:w="1987"/>
            <w:vAlign w:val="center"/>
            <w:tcMar>
              <w:top w:w="65" w:type="dxa"/>
              <w:start w:w="75" w:type="dxa"/>
              <w:bottom w:w="65" w:type="dxa"/>
              <w:end w:w="75" w:type="dxa"/>
            </w:tcMar>
          </w:tcPr>
          <w:p>
            <w:pPr>
              <w:spacing w:after="0" w:line="259" w:lineRule="auto"/>
            </w:pPr>
            <w:r>
              <w:rPr>
                <w:rFonts w:ascii="Lato" w:hAnsi="Lato"/>
                <w:color w:val="202D33"/>
                <w:sz w:val="14"/>
              </w:rPr>
              <w:t>[R7] Kuznetsov et al.</w:t>
            </w:r>
          </w:p>
        </w:tc>
        <w:tc>
          <w:tcPr>
            <w:tcW w:type="dxa" w:w="4536"/>
            <w:vAlign w:val="center"/>
            <w:tcMar>
              <w:top w:w="65" w:type="dxa"/>
              <w:start w:w="75" w:type="dxa"/>
              <w:bottom w:w="65" w:type="dxa"/>
              <w:end w:w="75" w:type="dxa"/>
            </w:tcMar>
          </w:tcPr>
          <w:p>
            <w:pPr>
              <w:spacing w:after="0" w:line="259" w:lineRule="auto"/>
            </w:pPr>
            <w:r>
              <w:rPr>
                <w:rFonts w:ascii="Lato" w:hAnsi="Lato"/>
                <w:color w:val="202D33"/>
                <w:sz w:val="14"/>
              </w:rPr>
              <w:t>Ground language explanations in numerical climate data and literature.</w:t>
            </w:r>
          </w:p>
        </w:tc>
        <w:tc>
          <w:tcPr>
            <w:tcW w:type="dxa" w:w="3298"/>
            <w:vAlign w:val="center"/>
            <w:tcMar>
              <w:top w:w="65" w:type="dxa"/>
              <w:start w:w="75" w:type="dxa"/>
              <w:bottom w:w="65" w:type="dxa"/>
              <w:end w:w="75" w:type="dxa"/>
            </w:tcMar>
          </w:tcPr>
          <w:p>
            <w:pPr>
              <w:spacing w:after="0" w:line="259" w:lineRule="auto"/>
            </w:pPr>
            <w:r>
              <w:rPr>
                <w:rFonts w:ascii="Lato" w:hAnsi="Lato"/>
                <w:color w:val="202D33"/>
                <w:sz w:val="14"/>
              </w:rPr>
              <w:t>LLM explanations do not validate physical predictions.</w:t>
            </w:r>
          </w:p>
        </w:tc>
      </w:tr>
      <w:tr>
        <w:trPr>
          <w:cantSplit/>
        </w:trPr>
        <w:tc>
          <w:tcPr>
            <w:tcW w:type="dxa" w:w="1987"/>
            <w:vAlign w:val="center"/>
            <w:tcMar>
              <w:top w:w="65" w:type="dxa"/>
              <w:start w:w="75" w:type="dxa"/>
              <w:bottom w:w="65" w:type="dxa"/>
              <w:end w:w="75" w:type="dxa"/>
            </w:tcMar>
            <w:shd w:fill="F0F5F5"/>
          </w:tcPr>
          <w:p>
            <w:pPr>
              <w:spacing w:after="0" w:line="259" w:lineRule="auto"/>
            </w:pPr>
            <w:r>
              <w:rPr>
                <w:rFonts w:ascii="Lato" w:hAnsi="Lato"/>
                <w:color w:val="202D33"/>
                <w:sz w:val="14"/>
              </w:rPr>
              <w:t>[R8] Dorner et al.</w:t>
            </w:r>
          </w:p>
        </w:tc>
        <w:tc>
          <w:tcPr>
            <w:tcW w:type="dxa" w:w="4536"/>
            <w:vAlign w:val="center"/>
            <w:tcMar>
              <w:top w:w="65" w:type="dxa"/>
              <w:start w:w="75" w:type="dxa"/>
              <w:bottom w:w="65" w:type="dxa"/>
              <w:end w:w="75" w:type="dxa"/>
            </w:tcMar>
            <w:shd w:fill="F0F5F5"/>
          </w:tcPr>
          <w:p>
            <w:pPr>
              <w:spacing w:after="0" w:line="259" w:lineRule="auto"/>
            </w:pPr>
            <w:r>
              <w:rPr>
                <w:rFonts w:ascii="Lato" w:hAnsi="Lato"/>
                <w:color w:val="202D33"/>
                <w:sz w:val="14"/>
              </w:rPr>
              <w:t>Social side-effects must be contextual, not assumed universally.</w:t>
            </w:r>
          </w:p>
        </w:tc>
        <w:tc>
          <w:tcPr>
            <w:tcW w:type="dxa" w:w="3298"/>
            <w:vAlign w:val="center"/>
            <w:tcMar>
              <w:top w:w="65" w:type="dxa"/>
              <w:start w:w="75" w:type="dxa"/>
              <w:bottom w:w="65" w:type="dxa"/>
              <w:end w:w="75" w:type="dxa"/>
            </w:tcMar>
            <w:shd w:fill="F0F5F5"/>
          </w:tcPr>
          <w:p>
            <w:pPr>
              <w:spacing w:after="0" w:line="259" w:lineRule="auto"/>
            </w:pPr>
            <w:r>
              <w:rPr>
                <w:rFonts w:ascii="Lato" w:hAnsi="Lato"/>
                <w:color w:val="202D33"/>
                <w:sz w:val="14"/>
              </w:rPr>
              <w:t>Greening does not imply demonstrable gentrification in our zones.</w:t>
            </w:r>
          </w:p>
        </w:tc>
      </w:tr>
      <w:tr>
        <w:trPr>
          <w:cantSplit/>
        </w:trPr>
        <w:tc>
          <w:tcPr>
            <w:tcW w:type="dxa" w:w="1987"/>
            <w:vAlign w:val="center"/>
            <w:tcMar>
              <w:top w:w="65" w:type="dxa"/>
              <w:start w:w="75" w:type="dxa"/>
              <w:bottom w:w="65" w:type="dxa"/>
              <w:end w:w="75" w:type="dxa"/>
            </w:tcMar>
          </w:tcPr>
          <w:p>
            <w:pPr>
              <w:spacing w:after="0" w:line="259" w:lineRule="auto"/>
            </w:pPr>
            <w:r>
              <w:rPr>
                <w:rFonts w:ascii="Lato" w:hAnsi="Lato"/>
                <w:color w:val="202D33"/>
                <w:sz w:val="14"/>
              </w:rPr>
              <w:t>[R9] Caparros-Midwood</w:t>
            </w:r>
          </w:p>
        </w:tc>
        <w:tc>
          <w:tcPr>
            <w:tcW w:type="dxa" w:w="4536"/>
            <w:vAlign w:val="center"/>
            <w:tcMar>
              <w:top w:w="65" w:type="dxa"/>
              <w:start w:w="75" w:type="dxa"/>
              <w:bottom w:w="65" w:type="dxa"/>
              <w:end w:w="75" w:type="dxa"/>
            </w:tcMar>
          </w:tcPr>
          <w:p>
            <w:pPr>
              <w:spacing w:after="0" w:line="259" w:lineRule="auto"/>
            </w:pPr>
            <w:r>
              <w:rPr>
                <w:rFonts w:ascii="Lato" w:hAnsi="Lato"/>
                <w:color w:val="202D33"/>
                <w:sz w:val="14"/>
              </w:rPr>
              <w:t>Non-dominated options and trade-offs in spatial planning.</w:t>
            </w:r>
          </w:p>
        </w:tc>
        <w:tc>
          <w:tcPr>
            <w:tcW w:type="dxa" w:w="3298"/>
            <w:vAlign w:val="center"/>
            <w:tcMar>
              <w:top w:w="65" w:type="dxa"/>
              <w:start w:w="75" w:type="dxa"/>
              <w:bottom w:w="65" w:type="dxa"/>
              <w:end w:w="75" w:type="dxa"/>
            </w:tcMar>
          </w:tcPr>
          <w:p>
            <w:pPr>
              <w:spacing w:after="0" w:line="259" w:lineRule="auto"/>
            </w:pPr>
            <w:r>
              <w:rPr>
                <w:rFonts w:ascii="Lato" w:hAnsi="Lato"/>
                <w:color w:val="202D33"/>
                <w:sz w:val="14"/>
              </w:rPr>
              <w:t>Only sampled solutions are claimed unless a complete Pareto frontier is computed.</w:t>
            </w:r>
          </w:p>
        </w:tc>
      </w:tr>
      <w:tr>
        <w:trPr>
          <w:cantSplit/>
        </w:trPr>
        <w:tc>
          <w:tcPr>
            <w:tcW w:type="dxa" w:w="1987"/>
            <w:vAlign w:val="center"/>
            <w:tcMar>
              <w:top w:w="65" w:type="dxa"/>
              <w:start w:w="75" w:type="dxa"/>
              <w:bottom w:w="65" w:type="dxa"/>
              <w:end w:w="75" w:type="dxa"/>
            </w:tcMar>
            <w:shd w:fill="F0F5F5"/>
          </w:tcPr>
          <w:p>
            <w:pPr>
              <w:spacing w:after="0" w:line="259" w:lineRule="auto"/>
            </w:pPr>
            <w:r>
              <w:rPr>
                <w:rFonts w:ascii="Lato" w:hAnsi="Lato"/>
                <w:color w:val="202D33"/>
                <w:sz w:val="14"/>
              </w:rPr>
              <w:t>[R10] Castro</w:t>
            </w:r>
          </w:p>
        </w:tc>
        <w:tc>
          <w:tcPr>
            <w:tcW w:type="dxa" w:w="4536"/>
            <w:vAlign w:val="center"/>
            <w:tcMar>
              <w:top w:w="65" w:type="dxa"/>
              <w:start w:w="75" w:type="dxa"/>
              <w:bottom w:w="65" w:type="dxa"/>
              <w:end w:w="75" w:type="dxa"/>
            </w:tcMar>
            <w:shd w:fill="F0F5F5"/>
          </w:tcPr>
          <w:p>
            <w:pPr>
              <w:spacing w:after="0" w:line="259" w:lineRule="auto"/>
            </w:pPr>
            <w:r>
              <w:rPr>
                <w:rFonts w:ascii="Lato" w:hAnsi="Lato"/>
                <w:color w:val="202D33"/>
                <w:sz w:val="14"/>
              </w:rPr>
              <w:t>Equity in the allocation objective rather than only downstream displays.</w:t>
            </w:r>
          </w:p>
        </w:tc>
        <w:tc>
          <w:tcPr>
            <w:tcW w:type="dxa" w:w="3298"/>
            <w:vAlign w:val="center"/>
            <w:tcMar>
              <w:top w:w="65" w:type="dxa"/>
              <w:start w:w="75" w:type="dxa"/>
              <w:bottom w:w="65" w:type="dxa"/>
              <w:end w:w="75" w:type="dxa"/>
            </w:tcMar>
            <w:shd w:fill="F0F5F5"/>
          </w:tcPr>
          <w:p>
            <w:pPr>
              <w:spacing w:after="0" w:line="259" w:lineRule="auto"/>
            </w:pPr>
            <w:r>
              <w:rPr>
                <w:rFonts w:ascii="Lato" w:hAnsi="Lato"/>
                <w:color w:val="202D33"/>
                <w:sz w:val="14"/>
              </w:rPr>
              <w:t>Equity weights and vulnerability data remain policy/data assumptions.</w:t>
            </w:r>
          </w:p>
        </w:tc>
      </w:tr>
    </w:tbl>
    <w:p>
      <w:pPr>
        <w:spacing w:after="40"/>
      </w:pPr>
    </w:p>
    <w:p>
      <w:pPr>
        <w:pStyle w:val="Heading1"/>
      </w:pPr>
      <w:r>
        <w:t>Appendix A. Minimum data dictionary</w:t>
      </w:r>
    </w:p>
    <w:tbl>
      <w:tblPr>
        <w:tblW w:type="auto" w:w="0"/>
        <w:jc w:val="center"/>
        <w:tblLayout w:type="fixed"/>
        <w:tblLook w:firstColumn="1" w:firstRow="1" w:lastColumn="0" w:lastRow="0" w:noHBand="0" w:noVBand="1" w:val="04A0"/>
      </w:tblPr>
      <w:tblGrid>
        <w:gridCol w:w="2304"/>
        <w:gridCol w:w="7517"/>
      </w:tblGrid>
      <w:tr>
        <w:trPr>
          <w:tblHeader w:val="true"/>
          <w:cantSplit/>
        </w:trPr>
        <w:tc>
          <w:tcPr>
            <w:tcW w:type="dxa" w:w="2304"/>
            <w:shd w:fill="143A49"/>
            <w:tcMar>
              <w:top w:w="85" w:type="dxa"/>
              <w:start w:w="85" w:type="dxa"/>
              <w:bottom w:w="85" w:type="dxa"/>
              <w:end w:w="85" w:type="dxa"/>
            </w:tcMar>
          </w:tcPr>
          <w:p>
            <w:pPr>
              <w:spacing w:after="0"/>
            </w:pPr>
            <w:r>
              <w:rPr>
                <w:rFonts w:ascii="Lato" w:hAnsi="Lato"/>
                <w:b/>
                <w:color w:val="FFFFFF"/>
                <w:sz w:val="15"/>
              </w:rPr>
              <w:t>Dataset</w:t>
            </w:r>
          </w:p>
        </w:tc>
        <w:tc>
          <w:tcPr>
            <w:tcW w:type="dxa" w:w="7517"/>
            <w:shd w:fill="143A49"/>
            <w:tcMar>
              <w:top w:w="85" w:type="dxa"/>
              <w:start w:w="85" w:type="dxa"/>
              <w:bottom w:w="85" w:type="dxa"/>
              <w:end w:w="85" w:type="dxa"/>
            </w:tcMar>
          </w:tcPr>
          <w:p>
            <w:pPr>
              <w:spacing w:after="0"/>
            </w:pPr>
            <w:r>
              <w:rPr>
                <w:rFonts w:ascii="Lato" w:hAnsi="Lato"/>
                <w:b/>
                <w:color w:val="FFFFFF"/>
                <w:sz w:val="15"/>
              </w:rPr>
              <w:t>Minimum fields</w:t>
            </w:r>
          </w:p>
        </w:tc>
      </w:tr>
      <w:tr>
        <w:trPr>
          <w:cantSplit/>
        </w:trPr>
        <w:tc>
          <w:tcPr>
            <w:tcW w:type="dxa" w:w="2304"/>
            <w:vAlign w:val="center"/>
            <w:tcMar>
              <w:top w:w="65" w:type="dxa"/>
              <w:start w:w="75" w:type="dxa"/>
              <w:bottom w:w="65" w:type="dxa"/>
              <w:end w:w="75" w:type="dxa"/>
            </w:tcMar>
          </w:tcPr>
          <w:p>
            <w:pPr>
              <w:spacing w:after="0" w:line="259" w:lineRule="auto"/>
            </w:pPr>
            <w:r>
              <w:rPr>
                <w:rFonts w:ascii="Lato" w:hAnsi="Lato"/>
                <w:color w:val="202D33"/>
                <w:sz w:val="15"/>
              </w:rPr>
              <w:t>zones.csv</w:t>
            </w:r>
          </w:p>
        </w:tc>
        <w:tc>
          <w:tcPr>
            <w:tcW w:type="dxa" w:w="7517"/>
            <w:vAlign w:val="center"/>
            <w:tcMar>
              <w:top w:w="65" w:type="dxa"/>
              <w:start w:w="75" w:type="dxa"/>
              <w:bottom w:w="65" w:type="dxa"/>
              <w:end w:w="75" w:type="dxa"/>
            </w:tcMar>
          </w:tcPr>
          <w:p>
            <w:pPr>
              <w:spacing w:after="0" w:line="259" w:lineRule="auto"/>
            </w:pPr>
            <w:r>
              <w:rPr>
                <w:rFonts w:ascii="Lato" w:hAnsi="Lato"/>
                <w:color w:val="202D33"/>
                <w:sz w:val="15"/>
              </w:rPr>
              <w:t>zone_id, label, geometry_ref, area_ha, population, vulnerability_band, built_fraction, vegetation_fraction, water_demand_m3, base_heat_index, source_ids</w:t>
            </w:r>
          </w:p>
        </w:tc>
      </w:tr>
      <w:tr>
        <w:trPr>
          <w:cantSplit/>
        </w:trPr>
        <w:tc>
          <w:tcPr>
            <w:tcW w:type="dxa" w:w="2304"/>
            <w:vAlign w:val="center"/>
            <w:tcMar>
              <w:top w:w="65" w:type="dxa"/>
              <w:start w:w="75" w:type="dxa"/>
              <w:bottom w:w="65" w:type="dxa"/>
              <w:end w:w="75" w:type="dxa"/>
            </w:tcMar>
            <w:shd w:fill="F0F5F5"/>
          </w:tcPr>
          <w:p>
            <w:pPr>
              <w:spacing w:after="0" w:line="259" w:lineRule="auto"/>
            </w:pPr>
            <w:r>
              <w:rPr>
                <w:rFonts w:ascii="Lato" w:hAnsi="Lato"/>
                <w:color w:val="202D33"/>
                <w:sz w:val="15"/>
              </w:rPr>
              <w:t>sites.csv</w:t>
            </w:r>
          </w:p>
        </w:tc>
        <w:tc>
          <w:tcPr>
            <w:tcW w:type="dxa" w:w="7517"/>
            <w:vAlign w:val="center"/>
            <w:tcMar>
              <w:top w:w="65" w:type="dxa"/>
              <w:start w:w="75" w:type="dxa"/>
              <w:bottom w:w="65" w:type="dxa"/>
              <w:end w:w="75" w:type="dxa"/>
            </w:tcMar>
            <w:shd w:fill="F0F5F5"/>
          </w:tcPr>
          <w:p>
            <w:pPr>
              <w:spacing w:after="0" w:line="259" w:lineRule="auto"/>
            </w:pPr>
            <w:r>
              <w:rPr>
                <w:rFonts w:ascii="Lato" w:hAnsi="Lato"/>
                <w:color w:val="202D33"/>
                <w:sz w:val="15"/>
              </w:rPr>
              <w:t>site_id, zone_id, site_type, land_area_m2, suitable_roof_m2, slope_class, drainage_asset, eligible_types, evidence_grade</w:t>
            </w:r>
          </w:p>
        </w:tc>
      </w:tr>
      <w:tr>
        <w:trPr>
          <w:cantSplit/>
        </w:trPr>
        <w:tc>
          <w:tcPr>
            <w:tcW w:type="dxa" w:w="2304"/>
            <w:vAlign w:val="center"/>
            <w:tcMar>
              <w:top w:w="65" w:type="dxa"/>
              <w:start w:w="75" w:type="dxa"/>
              <w:bottom w:w="65" w:type="dxa"/>
              <w:end w:w="75" w:type="dxa"/>
            </w:tcMar>
          </w:tcPr>
          <w:p>
            <w:pPr>
              <w:spacing w:after="0" w:line="259" w:lineRule="auto"/>
            </w:pPr>
            <w:r>
              <w:rPr>
                <w:rFonts w:ascii="Lato" w:hAnsi="Lato"/>
                <w:color w:val="202D33"/>
                <w:sz w:val="15"/>
              </w:rPr>
              <w:t>interventions.csv</w:t>
            </w:r>
          </w:p>
        </w:tc>
        <w:tc>
          <w:tcPr>
            <w:tcW w:type="dxa" w:w="7517"/>
            <w:vAlign w:val="center"/>
            <w:tcMar>
              <w:top w:w="65" w:type="dxa"/>
              <w:start w:w="75" w:type="dxa"/>
              <w:bottom w:w="65" w:type="dxa"/>
              <w:end w:w="75" w:type="dxa"/>
            </w:tcMar>
          </w:tcPr>
          <w:p>
            <w:pPr>
              <w:spacing w:after="0" w:line="259" w:lineRule="auto"/>
            </w:pPr>
            <w:r>
              <w:rPr>
                <w:rFonts w:ascii="Lato" w:hAnsi="Lato"/>
                <w:color w:val="202D33"/>
                <w:sz w:val="15"/>
              </w:rPr>
              <w:t>project_id, site_id, intervention_type, capex_inr, opex_inr_yr, horizon_yr, resource_needs, max_units, requires, excludes</w:t>
            </w:r>
          </w:p>
        </w:tc>
      </w:tr>
      <w:tr>
        <w:trPr>
          <w:cantSplit/>
        </w:trPr>
        <w:tc>
          <w:tcPr>
            <w:tcW w:type="dxa" w:w="2304"/>
            <w:vAlign w:val="center"/>
            <w:tcMar>
              <w:top w:w="65" w:type="dxa"/>
              <w:start w:w="75" w:type="dxa"/>
              <w:bottom w:w="65" w:type="dxa"/>
              <w:end w:w="75" w:type="dxa"/>
            </w:tcMar>
            <w:shd w:fill="F0F5F5"/>
          </w:tcPr>
          <w:p>
            <w:pPr>
              <w:spacing w:after="0" w:line="259" w:lineRule="auto"/>
            </w:pPr>
            <w:r>
              <w:rPr>
                <w:rFonts w:ascii="Lato" w:hAnsi="Lato"/>
                <w:color w:val="202D33"/>
                <w:sz w:val="15"/>
              </w:rPr>
              <w:t>baseline_climate.csv</w:t>
            </w:r>
          </w:p>
        </w:tc>
        <w:tc>
          <w:tcPr>
            <w:tcW w:type="dxa" w:w="7517"/>
            <w:vAlign w:val="center"/>
            <w:tcMar>
              <w:top w:w="65" w:type="dxa"/>
              <w:start w:w="75" w:type="dxa"/>
              <w:bottom w:w="65" w:type="dxa"/>
              <w:end w:w="75" w:type="dxa"/>
            </w:tcMar>
            <w:shd w:fill="F0F5F5"/>
          </w:tcPr>
          <w:p>
            <w:pPr>
              <w:spacing w:after="0" w:line="259" w:lineRule="auto"/>
            </w:pPr>
            <w:r>
              <w:rPr>
                <w:rFonts w:ascii="Lato" w:hAnsi="Lato"/>
                <w:color w:val="202D33"/>
                <w:sz w:val="15"/>
              </w:rPr>
              <w:t>scenario_id, rainfall_mm, intensity_mm_h, temperature_proxy, time_period, data_resolution, source_id</w:t>
            </w:r>
          </w:p>
        </w:tc>
      </w:tr>
      <w:tr>
        <w:trPr>
          <w:cantSplit/>
        </w:trPr>
        <w:tc>
          <w:tcPr>
            <w:tcW w:type="dxa" w:w="2304"/>
            <w:vAlign w:val="center"/>
            <w:tcMar>
              <w:top w:w="65" w:type="dxa"/>
              <w:start w:w="75" w:type="dxa"/>
              <w:bottom w:w="65" w:type="dxa"/>
              <w:end w:w="75" w:type="dxa"/>
            </w:tcMar>
          </w:tcPr>
          <w:p>
            <w:pPr>
              <w:spacing w:after="0" w:line="259" w:lineRule="auto"/>
            </w:pPr>
            <w:r>
              <w:rPr>
                <w:rFonts w:ascii="Lato" w:hAnsi="Lato"/>
                <w:color w:val="202D33"/>
                <w:sz w:val="15"/>
              </w:rPr>
              <w:t>effect_factors.csv</w:t>
            </w:r>
          </w:p>
        </w:tc>
        <w:tc>
          <w:tcPr>
            <w:tcW w:type="dxa" w:w="7517"/>
            <w:vAlign w:val="center"/>
            <w:tcMar>
              <w:top w:w="65" w:type="dxa"/>
              <w:start w:w="75" w:type="dxa"/>
              <w:bottom w:w="65" w:type="dxa"/>
              <w:end w:w="75" w:type="dxa"/>
            </w:tcMar>
          </w:tcPr>
          <w:p>
            <w:pPr>
              <w:spacing w:after="0" w:line="259" w:lineRule="auto"/>
            </w:pPr>
            <w:r>
              <w:rPr>
                <w:rFonts w:ascii="Lato" w:hAnsi="Lato"/>
                <w:color w:val="202D33"/>
                <w:sz w:val="15"/>
              </w:rPr>
              <w:t>type, outcome_metric, effect_per_unit, unit, source_id, low_bound, high_bound, applicable_scenario</w:t>
            </w:r>
          </w:p>
        </w:tc>
      </w:tr>
      <w:tr>
        <w:trPr>
          <w:cantSplit/>
        </w:trPr>
        <w:tc>
          <w:tcPr>
            <w:tcW w:type="dxa" w:w="2304"/>
            <w:vAlign w:val="center"/>
            <w:tcMar>
              <w:top w:w="65" w:type="dxa"/>
              <w:start w:w="75" w:type="dxa"/>
              <w:bottom w:w="65" w:type="dxa"/>
              <w:end w:w="75" w:type="dxa"/>
            </w:tcMar>
            <w:shd w:fill="F0F5F5"/>
          </w:tcPr>
          <w:p>
            <w:pPr>
              <w:spacing w:after="0" w:line="259" w:lineRule="auto"/>
            </w:pPr>
            <w:r>
              <w:rPr>
                <w:rFonts w:ascii="Lato" w:hAnsi="Lato"/>
                <w:color w:val="202D33"/>
                <w:sz w:val="15"/>
              </w:rPr>
              <w:t>sources.csv</w:t>
            </w:r>
          </w:p>
        </w:tc>
        <w:tc>
          <w:tcPr>
            <w:tcW w:type="dxa" w:w="7517"/>
            <w:vAlign w:val="center"/>
            <w:tcMar>
              <w:top w:w="65" w:type="dxa"/>
              <w:start w:w="75" w:type="dxa"/>
              <w:bottom w:w="65" w:type="dxa"/>
              <w:end w:w="75" w:type="dxa"/>
            </w:tcMar>
            <w:shd w:fill="F0F5F5"/>
          </w:tcPr>
          <w:p>
            <w:pPr>
              <w:spacing w:after="0" w:line="259" w:lineRule="auto"/>
            </w:pPr>
            <w:r>
              <w:rPr>
                <w:rFonts w:ascii="Lato" w:hAnsi="Lato"/>
                <w:color w:val="202D33"/>
                <w:sz w:val="15"/>
              </w:rPr>
              <w:t>source_id, title, url_or_file, publication_date, observed_at, spatial_scale, evidence_grade, limitations</w:t>
            </w:r>
          </w:p>
        </w:tc>
      </w:tr>
      <w:tr>
        <w:trPr>
          <w:cantSplit/>
        </w:trPr>
        <w:tc>
          <w:tcPr>
            <w:tcW w:type="dxa" w:w="2304"/>
            <w:vAlign w:val="center"/>
            <w:tcMar>
              <w:top w:w="65" w:type="dxa"/>
              <w:start w:w="75" w:type="dxa"/>
              <w:bottom w:w="65" w:type="dxa"/>
              <w:end w:w="75" w:type="dxa"/>
            </w:tcMar>
          </w:tcPr>
          <w:p>
            <w:pPr>
              <w:spacing w:after="0" w:line="259" w:lineRule="auto"/>
            </w:pPr>
            <w:r>
              <w:rPr>
                <w:rFonts w:ascii="Lato" w:hAnsi="Lato"/>
                <w:color w:val="202D33"/>
                <w:sz w:val="15"/>
              </w:rPr>
              <w:t>runs/*.json</w:t>
            </w:r>
          </w:p>
        </w:tc>
        <w:tc>
          <w:tcPr>
            <w:tcW w:type="dxa" w:w="7517"/>
            <w:vAlign w:val="center"/>
            <w:tcMar>
              <w:top w:w="65" w:type="dxa"/>
              <w:start w:w="75" w:type="dxa"/>
              <w:bottom w:w="65" w:type="dxa"/>
              <w:end w:w="75" w:type="dxa"/>
            </w:tcMar>
          </w:tcPr>
          <w:p>
            <w:pPr>
              <w:spacing w:after="0" w:line="259" w:lineRule="auto"/>
            </w:pPr>
            <w:r>
              <w:rPr>
                <w:rFonts w:ascii="Lato" w:hAnsi="Lato"/>
                <w:color w:val="202D33"/>
                <w:sz w:val="15"/>
              </w:rPr>
              <w:t>run_id, input_hash, timestamps, data_version, model_version, request, solver_status, selected_projects, outputs, limitations</w:t>
            </w:r>
          </w:p>
        </w:tc>
      </w:tr>
    </w:tbl>
    <w:p>
      <w:pPr>
        <w:spacing w:after="40"/>
      </w:pPr>
    </w:p>
    <w:p>
      <w:pPr>
        <w:pStyle w:val="SmallCaption"/>
      </w:pPr>
      <w:r>
        <w:t>Field names are the recommended internal schema, not columns supplied by the original problem statement.</w:t>
      </w:r>
    </w:p>
    <w:p>
      <w:pPr>
        <w:pStyle w:val="Heading1"/>
      </w:pPr>
      <w:r>
        <w:t>Appendix B. Example run contract</w:t>
      </w:r>
    </w:p>
    <w:p>
      <w:r>
        <w:t>The following JSON is a structural example, not a computed or validated result. Numeric output placeholders are deliberately null until the solver and evaluator return values.</w:t>
      </w:r>
    </w:p>
    <w:p>
      <w:pPr>
        <w:pStyle w:val="CodeNote"/>
      </w:pPr>
      <w:r>
        <w:t>{</w:t>
      </w:r>
    </w:p>
    <w:p>
      <w:pPr>
        <w:pStyle w:val="CodeNote"/>
      </w:pPr>
      <w:r>
        <w:t xml:space="preserve">  "run_id": "run_example_001",</w:t>
      </w:r>
    </w:p>
    <w:p>
      <w:pPr>
        <w:pStyle w:val="CodeNote"/>
      </w:pPr>
      <w:r>
        <w:t xml:space="preserve">  "area_id": "pilot_yelahanka_demo",</w:t>
      </w:r>
    </w:p>
    <w:p>
      <w:pPr>
        <w:pStyle w:val="CodeNote"/>
      </w:pPr>
      <w:r>
        <w:t xml:space="preserve">  "baseline_version": "baseline_v1",</w:t>
      </w:r>
    </w:p>
    <w:p>
      <w:pPr>
        <w:pStyle w:val="CodeNote"/>
      </w:pPr>
      <w:r>
        <w:t xml:space="preserve">  "catalogue_version": "interventions_v1",</w:t>
      </w:r>
    </w:p>
    <w:p>
      <w:pPr>
        <w:pStyle w:val="CodeNote"/>
      </w:pPr>
      <w:r>
        <w:t xml:space="preserve">  "model_version": "c1v1c_v1",</w:t>
      </w:r>
    </w:p>
    <w:p>
      <w:pPr>
        <w:pStyle w:val="CodeNote"/>
      </w:pPr>
      <w:r>
        <w:t xml:space="preserve">  "request": {</w:t>
      </w:r>
    </w:p>
    <w:p>
      <w:pPr>
        <w:pStyle w:val="CodeNote"/>
      </w:pPr>
      <w:r>
        <w:t xml:space="preserve">    "budget_inr": 100000000,</w:t>
      </w:r>
    </w:p>
    <w:p>
      <w:pPr>
        <w:pStyle w:val="CodeNote"/>
      </w:pPr>
      <w:r>
        <w:t xml:space="preserve">    "mode": "balanced",</w:t>
      </w:r>
    </w:p>
    <w:p>
      <w:pPr>
        <w:pStyle w:val="CodeNote"/>
      </w:pPr>
      <w:r>
        <w:t xml:space="preserve">    "equity_floor": null,</w:t>
      </w:r>
    </w:p>
    <w:p>
      <w:pPr>
        <w:pStyle w:val="CodeNote"/>
      </w:pPr>
      <w:r>
        <w:t xml:space="preserve">    "scenario_id": "extreme_rainfall",</w:t>
      </w:r>
    </w:p>
    <w:p>
      <w:pPr>
        <w:pStyle w:val="CodeNote"/>
      </w:pPr>
      <w:r>
        <w:t xml:space="preserve">    "shock_parameters": {"rainfall_multiplier": 1.25}</w:t>
      </w:r>
    </w:p>
    <w:p>
      <w:pPr>
        <w:pStyle w:val="CodeNote"/>
      </w:pPr>
      <w:r>
        <w:t xml:space="preserve">  },</w:t>
      </w:r>
    </w:p>
    <w:p>
      <w:pPr>
        <w:pStyle w:val="CodeNote"/>
      </w:pPr>
      <w:r>
        <w:t xml:space="preserve">  "solver_status": "not_run",</w:t>
      </w:r>
    </w:p>
    <w:p>
      <w:pPr>
        <w:pStyle w:val="CodeNote"/>
      </w:pPr>
      <w:r>
        <w:t xml:space="preserve">  "selected_projects": [],</w:t>
      </w:r>
    </w:p>
    <w:p>
      <w:pPr>
        <w:pStyle w:val="CodeNote"/>
      </w:pPr>
      <w:r>
        <w:t xml:space="preserve">  "capital_cost_inr": null,</w:t>
      </w:r>
    </w:p>
    <w:p>
      <w:pPr>
        <w:pStyle w:val="CodeNote"/>
      </w:pPr>
      <w:r>
        <w:t xml:space="preserve">  "lifecycle_cost_inr": null,</w:t>
      </w:r>
    </w:p>
    <w:p>
      <w:pPr>
        <w:pStyle w:val="CodeNote"/>
      </w:pPr>
      <w:r>
        <w:t xml:space="preserve">  "environmental_metrics": {},</w:t>
      </w:r>
    </w:p>
    <w:p>
      <w:pPr>
        <w:pStyle w:val="CodeNote"/>
      </w:pPr>
      <w:r>
        <w:t xml:space="preserve">  "neighbourhood_benefits": {},</w:t>
      </w:r>
    </w:p>
    <w:p>
      <w:pPr>
        <w:pStyle w:val="CodeNote"/>
      </w:pPr>
      <w:r>
        <w:t xml:space="preserve">  "score_breakdown": {},</w:t>
      </w:r>
    </w:p>
    <w:p>
      <w:pPr>
        <w:pStyle w:val="CodeNote"/>
      </w:pPr>
      <w:r>
        <w:t xml:space="preserve">  "constraint_checks": {},</w:t>
      </w:r>
    </w:p>
    <w:p>
      <w:pPr>
        <w:pStyle w:val="CodeNote"/>
      </w:pPr>
      <w:r>
        <w:t xml:space="preserve">  "evidence_sources": [],</w:t>
      </w:r>
    </w:p>
    <w:p>
      <w:pPr>
        <w:pStyle w:val="CodeNote"/>
      </w:pPr>
      <w:r>
        <w:t xml:space="preserve">  "assumptions": [],</w:t>
      </w:r>
    </w:p>
    <w:p>
      <w:pPr>
        <w:pStyle w:val="CodeNote"/>
      </w:pPr>
      <w:r>
        <w:t xml:space="preserve">  "data_gaps": []</w:t>
      </w:r>
    </w:p>
    <w:p>
      <w:pPr>
        <w:pStyle w:val="CodeNote"/>
      </w:pPr>
      <w:r>
        <w:t>}</w:t>
      </w:r>
    </w:p>
    <w:p>
      <w:pPr>
        <w:pStyle w:val="Heading1"/>
      </w:pPr>
      <w:r>
        <w:t>Appendix C. Citations and source register</w:t>
      </w:r>
    </w:p>
    <w:p>
      <w:r>
        <w:t>The following references explain the scientific and technical rationale. They are evidence sources and architectural guidance, not claims that the project reproduces published results. Source links and specific coefficients used in the build should be recorded in sources.csv.</w:t>
      </w:r>
    </w:p>
    <w:p>
      <w:pPr>
        <w:pStyle w:val="SmallBody"/>
      </w:pPr>
      <w:r>
        <w:rPr>
          <w:b/>
          <w:color w:val="0C3E4A"/>
        </w:rPr>
        <w:t xml:space="preserve">[PS]  </w:t>
      </w:r>
      <w:r>
        <w:t>Sustainable_Development(2).docx. “The Sustainability Paradox: Optimising a City That Cannot Afford to Grow Greener.” Original hackathon problem statement and MVP/AWS/expected-outcome tables.</w:t>
      </w:r>
    </w:p>
    <w:p>
      <w:pPr>
        <w:pStyle w:val="SmallBody"/>
      </w:pPr>
      <w:r>
        <w:rPr>
          <w:b/>
          <w:color w:val="0C3E4A"/>
        </w:rPr>
        <w:t xml:space="preserve">[BP]  </w:t>
      </w:r>
      <w:r>
        <w:t>Urban Sustainability / Code-Level Blueprint (23 October 2026), 19 pages. Supplied architecture proposal; especially data contracts, immutable runs, evidence gaps, and AWS/CKAN trade-offs.</w:t>
      </w:r>
    </w:p>
    <w:p>
      <w:pPr>
        <w:pStyle w:val="SmallBody"/>
      </w:pPr>
      <w:r>
        <w:rPr>
          <w:b/>
          <w:color w:val="0C3E4A"/>
        </w:rPr>
        <w:t xml:space="preserve">[R1]  </w:t>
      </w:r>
      <w:r>
        <w:t>Jamwal, P. et al. (2024). Building Resilience to Urban Floods: Strategy and Action Plan for Bengaluru. ATREE. ISBN 978-81-940887-9-0.</w:t>
      </w:r>
    </w:p>
    <w:p>
      <w:pPr>
        <w:pStyle w:val="SmallBody"/>
      </w:pPr>
      <w:r>
        <w:rPr>
          <w:b/>
          <w:color w:val="0C3E4A"/>
        </w:rPr>
        <w:t xml:space="preserve">[R2]  </w:t>
      </w:r>
      <w:r>
        <w:t>Leng, L., Jia, H., Chen, A. S., Zhu, D. Z., Xu, T., &amp; Yu, S. (2021). Multi-objective optimization for green-grey infrastructures in response to external uncertainties. Science of the Total Environment, 775, 145831.</w:t>
      </w:r>
    </w:p>
    <w:p>
      <w:pPr>
        <w:pStyle w:val="SmallBody"/>
      </w:pPr>
      <w:r>
        <w:rPr>
          <w:b/>
          <w:color w:val="0C3E4A"/>
        </w:rPr>
        <w:t xml:space="preserve">[R3]  </w:t>
      </w:r>
      <w:r>
        <w:t>Manivasagam, V. S., Saai Shreyaa, G. V., &amp; Ganesh, S. D. (2025). Food-energy-water sustainability in urban spaces: insights from open geospatial datasets in Coimbatore, India. Computational Urban Science, 5:54. DOI: 10.1007/s43762-025-00213-w.</w:t>
      </w:r>
    </w:p>
    <w:p>
      <w:pPr>
        <w:pStyle w:val="SmallBody"/>
      </w:pPr>
      <w:r>
        <w:rPr>
          <w:b/>
          <w:color w:val="0C3E4A"/>
        </w:rPr>
        <w:t xml:space="preserve">[R4]  </w:t>
      </w:r>
      <w:r>
        <w:t>Gobatti, L., Bach, P. M., Maurer, M., &amp; Leitão, J. P. (2025). Impact of soil moisture content on urban tree evaporative cooling and human thermal comfort. npj Urban Sustainability, 5:26. DOI: 10.1038/s42949-025-00220-0.</w:t>
      </w:r>
    </w:p>
    <w:p>
      <w:pPr>
        <w:pStyle w:val="SmallBody"/>
      </w:pPr>
      <w:r>
        <w:rPr>
          <w:b/>
          <w:color w:val="0C3E4A"/>
        </w:rPr>
        <w:t xml:space="preserve">[R5]  </w:t>
      </w:r>
      <w:r>
        <w:t>Nathawat, R. et al. (2025). Urban Green Infrastructure Planning in Jaipur, India: A GIS-Based Suitability Model for Semi-Arid Cities. Sustainability, 17, 2420. DOI: 10.3390/su17062420.</w:t>
      </w:r>
    </w:p>
    <w:p>
      <w:pPr>
        <w:pStyle w:val="SmallBody"/>
      </w:pPr>
      <w:r>
        <w:rPr>
          <w:b/>
          <w:color w:val="0C3E4A"/>
        </w:rPr>
        <w:t xml:space="preserve">[R6]  </w:t>
      </w:r>
      <w:r>
        <w:t>Pan, H. et al. (2023). Contribution of prioritized urban nature-based solutions allocation to carbon neutrality. Nature Climate Change, 13, 862–870. DOI: 10.1038/s41558-023-01737-x.</w:t>
      </w:r>
    </w:p>
    <w:p>
      <w:pPr>
        <w:pStyle w:val="SmallBody"/>
      </w:pPr>
      <w:r>
        <w:rPr>
          <w:b/>
          <w:color w:val="0C3E4A"/>
        </w:rPr>
        <w:t xml:space="preserve">[R7]  </w:t>
      </w:r>
      <w:r>
        <w:t>Kuznetsov, I. et al. (2025). Transforming climate services with LLMs and multi-source data integration. npj Climate Action, 4:97. DOI: 10.1038/s44168-025-00300-y.</w:t>
      </w:r>
    </w:p>
    <w:p>
      <w:pPr>
        <w:pStyle w:val="SmallBody"/>
      </w:pPr>
      <w:r>
        <w:rPr>
          <w:b/>
          <w:color w:val="0C3E4A"/>
        </w:rPr>
        <w:t xml:space="preserve">[R8]  </w:t>
      </w:r>
      <w:r>
        <w:t>Dorner, J., Scherner, M., Thaler, T., &amp; Friesenecker, M. (2026). Taming the green gentrification cycle? Evidence from street greening in Vienna. Urban Geography. DOI: 10.1080/02723638.2026.2656265.</w:t>
      </w:r>
    </w:p>
    <w:p>
      <w:pPr>
        <w:pStyle w:val="SmallBody"/>
      </w:pPr>
      <w:r>
        <w:rPr>
          <w:b/>
          <w:color w:val="0C3E4A"/>
        </w:rPr>
        <w:t xml:space="preserve">[R9]  </w:t>
      </w:r>
      <w:r>
        <w:t>Caparros-Midwood, D., Barr, S., &amp; Dawson, R. (2017). Spatial Optimization of Future Urban Development with Regards to Climate Risk and Sustainability Objectives. Risk Analysis, 37(11). DOI: 10.1111/risa.12777.</w:t>
      </w:r>
    </w:p>
    <w:p>
      <w:pPr>
        <w:pStyle w:val="SmallBody"/>
      </w:pPr>
      <w:r>
        <w:rPr>
          <w:b/>
          <w:color w:val="0C3E4A"/>
        </w:rPr>
        <w:t xml:space="preserve">[R10]  </w:t>
      </w:r>
      <w:r>
        <w:t>Castro, C. V. (2022). Optimizing nature-based solutions by combining social equity, hydro-environmental efficiency, and economic costs through a novel Gini coefficient. Earth and Space Science Open Archive preprint. DOI: 10.1002/essoar.10508767.1.</w:t>
      </w:r>
    </w:p>
    <w:p>
      <w:pPr>
        <w:pStyle w:val="SmallBody"/>
      </w:pPr>
      <w:r>
        <w:rPr>
          <w:b/>
          <w:color w:val="0C3E4A"/>
        </w:rPr>
        <w:t xml:space="preserve">AWS docs  </w:t>
      </w:r>
      <w:r>
        <w:t>AWS Documentation: https://docs.aws.amazon.com/ ; Amazon S3: https://docs.aws.amazon.com/s3/ ; Amazon Bedrock: https://docs.aws.amazon.com/bedrock/ . Access and IAM/region availability must be verified by the team.</w:t>
      </w:r>
    </w:p>
    <w:p>
      <w:pPr>
        <w:pStyle w:val="SmallBody"/>
      </w:pPr>
      <w:r>
        <w:rPr>
          <w:b/>
          <w:color w:val="0C3E4A"/>
        </w:rPr>
        <w:t xml:space="preserve">Data portals  </w:t>
      </w:r>
      <w:r>
        <w:t>ESA WorldCover: https://esa-worldcover.org/ ; WorldPop: https://www.worldpop.org/ ; Google Open Buildings: https://sites.research.google/open-buildings/ ; CHIRPS: https://www.chc.ucsb.edu/data/chirps .</w:t>
      </w:r>
    </w:p>
    <w:p>
      <w:pPr>
        <w:pStyle w:val="Heading1"/>
      </w:pPr>
      <w:r>
        <w:t>Appendix D. Final build-room checklist</w:t>
      </w:r>
    </w:p>
    <w:p>
      <w:pPr>
        <w:pStyle w:val="ListBullet"/>
      </w:pPr>
      <w:r>
        <w:t>Original PS attached and five-module requirements checklist agreed.</w:t>
      </w:r>
    </w:p>
    <w:p>
      <w:pPr>
        <w:pStyle w:val="ListBullet"/>
      </w:pPr>
      <w:r>
        <w:t>Pilot-zone boundary and data provenance reviewed; synthetic inputs labelled.</w:t>
      </w:r>
    </w:p>
    <w:p>
      <w:pPr>
        <w:pStyle w:val="ListBullet"/>
      </w:pPr>
      <w:r>
        <w:t>All four intervention types represented in the common catalogue.</w:t>
      </w:r>
    </w:p>
    <w:p>
      <w:pPr>
        <w:pStyle w:val="ListBullet"/>
      </w:pPr>
      <w:r>
        <w:t>Shared Pydantic schemas frozen and communicated to each member.</w:t>
      </w:r>
    </w:p>
    <w:p>
      <w:pPr>
        <w:pStyle w:val="ListBullet"/>
      </w:pPr>
      <w:r>
        <w:t>First small MILP run validated against exhaustive enumeration.</w:t>
      </w:r>
    </w:p>
    <w:p>
      <w:pPr>
        <w:pStyle w:val="ListBullet"/>
      </w:pPr>
      <w:r>
        <w:t>Four environmental objectives plus economic and equity considerations implemented to supported fidelity.</w:t>
      </w:r>
    </w:p>
    <w:p>
      <w:pPr>
        <w:pStyle w:val="ListBullet"/>
      </w:pPr>
      <w:r>
        <w:t>Three scenario tests return new, auditable computed outputs.</w:t>
      </w:r>
    </w:p>
    <w:p>
      <w:pPr>
        <w:pStyle w:val="ListBullet"/>
      </w:pPr>
      <w:r>
        <w:t>Selected/rejected project explanations match actual solver diagnostics.</w:t>
      </w:r>
    </w:p>
    <w:p>
      <w:pPr>
        <w:pStyle w:val="ListBullet"/>
      </w:pPr>
      <w:r>
        <w:t>S3 and optional Bedrock tested with local fallbacks; credentials secure.</w:t>
      </w:r>
    </w:p>
    <w:p>
      <w:pPr>
        <w:pStyle w:val="ListBullet"/>
      </w:pPr>
      <w:r>
        <w:t>User interface displays metrics, costs, sources, caveats and beneficiaries.</w:t>
      </w:r>
    </w:p>
    <w:p>
      <w:pPr>
        <w:pStyle w:val="ListBullet"/>
      </w:pPr>
      <w:r>
        <w:t>One saved-run export/replay works and matches the visible dashboard.</w:t>
      </w:r>
    </w:p>
    <w:p>
      <w:pPr>
        <w:pStyle w:val="ListBullet"/>
      </w:pPr>
      <w:r>
        <w:t>All P0 tests passed; backup demo/pitch/submission assets frozen.</w:t>
      </w:r>
    </w:p>
    <w:p>
      <w:pPr>
        <w:pStyle w:val="Heading1"/>
      </w:pPr>
      <w:r>
        <w:t>Appendix E. Codex Astra implementation handoff</w:t>
      </w:r>
    </w:p>
    <w:p>
      <w:r>
        <w:t>Copy the original PS DOCX, this master specification, the selected research sources or evidence matrix, and the frozen data manifest into docs/. Codex can only ground itself in files actually accessible to its workspace.</w:t>
      </w:r>
    </w:p>
    <w:tbl>
      <w:tblPr>
        <w:tblW w:type="auto" w:w="0"/>
        <w:tblLook w:firstColumn="1" w:firstRow="1" w:lastColumn="0" w:lastRow="0" w:noHBand="0" w:noVBand="1" w:val="04A0"/>
      </w:tblPr>
      <w:tblGrid>
        <w:gridCol w:w="9749"/>
      </w:tblGrid>
      <w:tr>
        <w:tc>
          <w:tcPr>
            <w:tcW w:type="dxa" w:w="9749"/>
            <w:shd w:fill="EAF5F3"/>
            <w:tcMar>
              <w:top w:w="120" w:type="dxa"/>
              <w:start w:w="150" w:type="dxa"/>
              <w:bottom w:w="110" w:type="dxa"/>
              <w:end w:w="150" w:type="dxa"/>
            </w:tcMar>
          </w:tcPr>
          <w:p>
            <w:pPr>
              <w:spacing w:after="80"/>
            </w:pPr>
            <w:r>
              <w:rPr>
                <w:b/>
                <w:color w:val="0F7671"/>
                <w:sz w:val="16"/>
              </w:rPr>
              <w:t>INITIAL CODEX INSTRUCTION</w:t>
            </w:r>
          </w:p>
          <w:p>
            <w:pPr>
              <w:spacing w:after="0"/>
            </w:pPr>
            <w:r>
              <w:rPr>
                <w:sz w:val="18"/>
              </w:rPr>
              <w:t>Implement C1V1C — Tulabhara AI against this master plan and the attached original Sustainable Development PS. First create validated schemas, unit tests and a 1-zone / 2-intervention vertical slice; then expand to 3 zones, four intervention types and the three shocks. Use a deterministic physical evaluator and PuLP MILP. Preserve immutable runs, equity, source provenance and explicit synthetic-data warnings. Implement S3 and Bedrock only behind optional adapters with working offline fallbacks. Never claim unsupported Bengaluru measurements or validated flood forecasts. Report completed tests, missing sources and blocked functionality after each milestone.</w:t>
            </w:r>
          </w:p>
        </w:tc>
      </w:tr>
    </w:tbl>
    <w:p>
      <w:pPr>
        <w:spacing w:after="20"/>
      </w:pPr>
    </w:p>
    <w:p>
      <w:pPr>
        <w:pStyle w:val="Heading2"/>
      </w:pPr>
      <w:r>
        <w:t>First three implementation commands</w:t>
      </w:r>
    </w:p>
    <w:p>
      <w:pPr>
        <w:pStyle w:val="CodeNote"/>
      </w:pPr>
      <w:r>
        <w:t>python -m venv .venv</w:t>
      </w:r>
    </w:p>
    <w:p>
      <w:pPr>
        <w:pStyle w:val="CodeNote"/>
      </w:pPr>
      <w:r>
        <w:t>pip install -r requirements.txt</w:t>
      </w:r>
    </w:p>
    <w:p>
      <w:pPr>
        <w:pStyle w:val="CodeNote"/>
      </w:pPr>
      <w:r>
        <w:t>pytest -q &amp;&amp; streamlit run app.py</w:t>
      </w:r>
    </w:p>
    <w:p>
      <w:r>
        <w:t>These commands are entry points, not evidence of a working build. Pin compatible dependencies; adapt activation for the host OS. Codex must report any failure or missing package rather than declaring completion.</w:t>
      </w:r>
    </w:p>
    <w:p>
      <w:pPr>
        <w:pStyle w:val="Heading2"/>
      </w:pPr>
      <w:r>
        <w:t>Required Codex checkpoint reports</w:t>
      </w:r>
    </w:p>
    <w:p>
      <w:pPr>
        <w:pStyle w:val="ListBullet"/>
      </w:pPr>
      <w:r>
        <w:t>H2: schemas, assumptions and source manifest frozen; synthetic test fixture validates.</w:t>
      </w:r>
    </w:p>
    <w:p>
      <w:pPr>
        <w:pStyle w:val="ListBullet"/>
      </w:pPr>
      <w:r>
        <w:t>H5: exact small-portfolio optimiser solution plus budget/land constraints verified.</w:t>
      </w:r>
    </w:p>
    <w:p>
      <w:pPr>
        <w:pStyle w:val="ListBullet"/>
      </w:pPr>
      <w:r>
        <w:t>H8: every named shock recomputes physical coefficients and both old/new plans.</w:t>
      </w:r>
    </w:p>
    <w:p>
      <w:pPr>
        <w:pStyle w:val="ListBullet"/>
      </w:pPr>
      <w:r>
        <w:t>H12: five PS modules integrated in one accessible app with deterministic explanation.</w:t>
      </w:r>
    </w:p>
    <w:p>
      <w:pPr>
        <w:pStyle w:val="ListBullet"/>
      </w:pPr>
      <w:r>
        <w:t>H21: numerical acceptance fixtures, scientific caveats and offline fallback pass.</w:t>
      </w:r>
    </w:p>
    <w:p>
      <w:r>
        <w:t>Final deliverables: a working repository, reproducible install commands, test output, frozen input files, model limitations, deployment/backup instructions, sample immutable run JSON and a three-minute judge demonstration. The team should update this plan with actual deployment details, not silently claim unverified readiness.</w:t>
      </w:r>
    </w:p>
    <w:sectPr w:rsidR="00FC693F" w:rsidRPr="0006063C" w:rsidSect="00034616">
      <w:headerReference w:type="default" r:id="rId9"/>
      <w:footerReference w:type="default" r:id="rId10"/>
      <w:pgSz w:w="11909" w:h="16834"/>
      <w:pgMar w:top="1123" w:right="1037" w:bottom="1094" w:left="1123" w:header="461" w:footer="51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ato" w:hAnsi="Lato"/>
        <w:color w:val="56646A"/>
        <w:sz w:val="15"/>
      </w:rPr>
      <w:t xml:space="preserve">C1V1C  •  23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ato" w:hAnsi="Lato"/>
        <w:b/>
        <w:color w:val="56646A"/>
        <w:sz w:val="15"/>
      </w:rPr>
      <w:t>C1V1C  /  TULABHARA AI     •     IMPLEMENTATION MASTER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Lato" w:hAnsi="Lato"/>
      <w:color w:val="202D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line="252" w:lineRule="auto"/>
      <w:outlineLvl w:val="0"/>
    </w:pPr>
    <w:rPr>
      <w:rFonts w:asciiTheme="majorHAnsi" w:eastAsiaTheme="majorEastAsia" w:hAnsiTheme="majorHAnsi" w:cstheme="majorBidi" w:ascii="Lato" w:hAnsi="Lato"/>
      <w:b/>
      <w:bCs/>
      <w:color w:val="112938"/>
      <w:sz w:val="32"/>
      <w:szCs w:val="28"/>
    </w:rPr>
  </w:style>
  <w:style w:type="paragraph" w:styleId="Heading2">
    <w:name w:val="heading 2"/>
    <w:basedOn w:val="Normal"/>
    <w:next w:val="Normal"/>
    <w:link w:val="Heading2Char"/>
    <w:uiPriority w:val="9"/>
    <w:unhideWhenUsed/>
    <w:qFormat/>
    <w:rsid w:val="00FC693F"/>
    <w:pPr>
      <w:keepNext/>
      <w:keepLines/>
      <w:spacing w:before="240" w:after="100" w:line="252" w:lineRule="auto"/>
      <w:outlineLvl w:val="1"/>
    </w:pPr>
    <w:rPr>
      <w:rFonts w:asciiTheme="majorHAnsi" w:eastAsiaTheme="majorEastAsia" w:hAnsiTheme="majorHAnsi" w:cstheme="majorBidi" w:ascii="Lato" w:hAnsi="Lato"/>
      <w:b/>
      <w:bCs/>
      <w:color w:val="0C3E4A"/>
      <w:sz w:val="22"/>
      <w:szCs w:val="26"/>
    </w:rPr>
  </w:style>
  <w:style w:type="paragraph" w:styleId="Heading3">
    <w:name w:val="heading 3"/>
    <w:basedOn w:val="Normal"/>
    <w:next w:val="Normal"/>
    <w:link w:val="Heading3Char"/>
    <w:uiPriority w:val="9"/>
    <w:unhideWhenUsed/>
    <w:qFormat/>
    <w:rsid w:val="00FC693F"/>
    <w:pPr>
      <w:keepNext/>
      <w:keepLines/>
      <w:spacing w:before="180" w:after="60" w:line="252" w:lineRule="auto"/>
      <w:outlineLvl w:val="2"/>
    </w:pPr>
    <w:rPr>
      <w:rFonts w:asciiTheme="majorHAnsi" w:eastAsiaTheme="majorEastAsia" w:hAnsiTheme="majorHAnsi" w:cstheme="majorBidi" w:ascii="Lato" w:hAnsi="Lato"/>
      <w:b/>
      <w:bCs/>
      <w:color w:val="0F767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52" w:lineRule="auto" w:before="0"/>
      <w:contextualSpacing/>
    </w:pPr>
    <w:rPr>
      <w:rFonts w:asciiTheme="majorHAnsi" w:eastAsiaTheme="majorEastAsia" w:hAnsiTheme="majorHAnsi" w:cstheme="majorBidi" w:ascii="Lato" w:hAnsi="Lato"/>
      <w:b/>
      <w:color w:val="11293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line="252" w:lineRule="auto"/>
    </w:pPr>
    <w:rPr>
      <w:rFonts w:asciiTheme="majorHAnsi" w:eastAsiaTheme="majorEastAsia" w:hAnsiTheme="majorHAnsi" w:cstheme="majorBidi" w:ascii="Lato" w:hAnsi="Lato"/>
      <w:b w:val="0"/>
      <w:i/>
      <w:iCs/>
      <w:color w:val="56646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46" w:hanging="173"/>
      <w:contextualSpacing/>
    </w:pPr>
    <w:rPr>
      <w:rFonts w:ascii="Lato" w:hAnsi="Lato"/>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46" w:hanging="173"/>
      <w:contextualSpacing/>
    </w:pPr>
    <w:rPr>
      <w:rFonts w:ascii="Lato" w:hAnsi="Lato"/>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tion">
    <w:name w:val="Small Caption"/>
    <w:pPr>
      <w:spacing w:after="120"/>
    </w:pPr>
    <w:rPr>
      <w:rFonts w:ascii="Lato" w:hAnsi="Lato"/>
      <w:color w:val="56646A"/>
      <w:sz w:val="16"/>
    </w:rPr>
  </w:style>
  <w:style w:type="paragraph" w:customStyle="1" w:styleId="SmallBody">
    <w:name w:val="Small Body"/>
    <w:pPr>
      <w:spacing w:after="80" w:line="264" w:lineRule="auto"/>
    </w:pPr>
    <w:rPr>
      <w:rFonts w:ascii="Lato" w:hAnsi="Lato"/>
      <w:color w:val="202D33"/>
      <w:sz w:val="16"/>
    </w:rPr>
  </w:style>
  <w:style w:type="paragraph" w:customStyle="1" w:styleId="CodeNote">
    <w:name w:val="Code Note"/>
    <w:pPr>
      <w:spacing w:after="40"/>
    </w:pPr>
    <w:rPr>
      <w:rFonts w:ascii="DejaVu Sans Mono" w:hAnsi="DejaVu Sans Mono"/>
      <w:color w:val="0C3E4A"/>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C1V1C — Tulabhara AI | Complete Master Development Plan</dc:title>
  <dc:subject>24-hour sustainable urban decision engine implementation blueprint</dc:subject>
  <dc:creator>C1V1C Project Team</dc:creator>
  <cp:keywords>urban sustainability; optimisation; AWS; hackathon; Tulabhara AI</cp:keywords>
  <dc:description>generated by python-docx</dc:description>
  <cp:lastModifiedBy/>
  <cp:revision>1</cp:revision>
  <dcterms:created xsi:type="dcterms:W3CDTF">2013-12-23T23:15:00Z</dcterms:created>
  <dcterms:modified xsi:type="dcterms:W3CDTF">2013-12-23T23:15:00Z</dcterms:modified>
  <cp:category/>
</cp:coreProperties>
</file>