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235D46"/>
          <w:sz w:val="44"/>
        </w:rPr>
        <w:t>SUSTAINABLE DEVELOPMENT</w:t>
      </w:r>
    </w:p>
    <w:p>
      <w:pPr>
        <w:spacing w:after="240"/>
        <w:jc w:val="center"/>
      </w:pPr>
      <w:r>
        <w:rPr>
          <w:i/>
          <w:color w:val="5A5A5A"/>
          <w:sz w:val="20"/>
        </w:rPr>
        <w:t>Sustainability Domain | AI-Driven Urban Sustainability Decision Engine</w:t>
      </w:r>
    </w:p>
    <w:p>
      <w:pPr>
        <w:pStyle w:val="Heading1"/>
      </w:pPr>
      <w:r>
        <w:t>1. Problem Statement</w:t>
      </w:r>
    </w:p>
    <w:p>
      <w:pPr>
        <w:pStyle w:val="Heading2"/>
      </w:pPr>
      <w:r>
        <w:t>The Sustainability Paradox: Optimising a City That Cannot Afford to Grow Greener</w:t>
      </w:r>
    </w:p>
    <w:p>
      <w:r>
        <w:t>Indian cities face interconnected challenges such as urban heat, flooding, water scarcity, and carbon emissions. However, sustainability solutions can conflict with one another and must operate within limited budgets, land availability, and uncertain climate conditions.</w:t>
      </w:r>
    </w:p>
    <w:p>
      <w:r>
        <w:t>Develop an AI-driven urban sustainability decision engine that identifies the best combination of interventions while balancing environmental impact, economic feasibility, and social equity. The system must adapt to unexpected scenarios and explain the trade-offs behind its recommendations.</w:t>
      </w:r>
    </w:p>
    <w:p>
      <w:pPr>
        <w:pStyle w:val="Heading1"/>
      </w:pPr>
      <w:r>
        <w:t>2. Minimum Viable Product (MVP)</w:t>
      </w:r>
    </w:p>
    <w:tbl>
      <w:tblPr>
        <w:tblStyle w:val="TableGrid"/>
        <w:tblW w:type="auto" w:w="0"/>
        <w:tblLayout w:type="autofit"/>
        <w:tblLook w:firstColumn="1" w:firstRow="1" w:lastColumn="0" w:lastRow="0" w:noHBand="0" w:noVBand="1" w:val="04A0"/>
      </w:tblPr>
      <w:tblGrid>
        <w:gridCol w:w="4968"/>
        <w:gridCol w:w="4968"/>
      </w:tblGrid>
      <w:tr>
        <w:tc>
          <w:tcPr>
            <w:tcW w:type="dxa" w:w="4968"/>
            <w:shd w:fill="235D46"/>
          </w:tcPr>
          <w:p>
            <w:r>
              <w:rPr>
                <w:b/>
                <w:color w:val="FFFFFF"/>
              </w:rPr>
              <w:t>MVP Component</w:t>
            </w:r>
          </w:p>
        </w:tc>
        <w:tc>
          <w:tcPr>
            <w:tcW w:type="dxa" w:w="4968"/>
            <w:shd w:fill="235D46"/>
          </w:tcPr>
          <w:p>
            <w:r>
              <w:rPr>
                <w:b/>
                <w:color w:val="FFFFFF"/>
              </w:rPr>
              <w:t>Purpose</w:t>
            </w:r>
          </w:p>
        </w:tc>
      </w:tr>
      <w:tr>
        <w:tc>
          <w:tcPr>
            <w:tcW w:type="dxa" w:w="2376"/>
          </w:tcPr>
          <w:p>
            <w:r>
              <w:t>Data Engine</w:t>
            </w:r>
          </w:p>
        </w:tc>
        <w:tc>
          <w:tcPr>
            <w:tcW w:type="dxa" w:w="8064"/>
          </w:tcPr>
          <w:p>
            <w:r>
              <w:t>Analyse urban climate, water, land-use, and population data.</w:t>
            </w:r>
          </w:p>
        </w:tc>
      </w:tr>
      <w:tr>
        <w:tc>
          <w:tcPr>
            <w:tcW w:type="dxa" w:w="2376"/>
          </w:tcPr>
          <w:p>
            <w:r>
              <w:t>AI Optimisation</w:t>
            </w:r>
          </w:p>
        </w:tc>
        <w:tc>
          <w:tcPr>
            <w:tcW w:type="dxa" w:w="8064"/>
          </w:tcPr>
          <w:p>
            <w:r>
              <w:t>Recommend combinations of green roofs, urban forests, rainwater harvesting, and drainage improvements.</w:t>
            </w:r>
          </w:p>
        </w:tc>
      </w:tr>
      <w:tr>
        <w:tc>
          <w:tcPr>
            <w:tcW w:type="dxa" w:w="2376"/>
          </w:tcPr>
          <w:p>
            <w:r>
              <w:t>Interactive Dashboard</w:t>
            </w:r>
          </w:p>
        </w:tc>
        <w:tc>
          <w:tcPr>
            <w:tcW w:type="dxa" w:w="8064"/>
          </w:tcPr>
          <w:p>
            <w:r>
              <w:t>Visualise risks, costs, resource allocation, and neighbourhood-level benefits.</w:t>
            </w:r>
          </w:p>
        </w:tc>
      </w:tr>
      <w:tr>
        <w:tc>
          <w:tcPr>
            <w:tcW w:type="dxa" w:w="2376"/>
          </w:tcPr>
          <w:p>
            <w:r>
              <w:t>Scenario Simulator</w:t>
            </w:r>
          </w:p>
        </w:tc>
        <w:tc>
          <w:tcPr>
            <w:tcW w:type="dxa" w:w="8064"/>
          </w:tcPr>
          <w:p>
            <w:r>
              <w:t>Test droughts, extreme rainfall, and sudden budget cuts.</w:t>
            </w:r>
          </w:p>
        </w:tc>
      </w:tr>
      <w:tr>
        <w:tc>
          <w:tcPr>
            <w:tcW w:type="dxa" w:w="2376"/>
          </w:tcPr>
          <w:p>
            <w:r>
              <w:t>Decision Explainer</w:t>
            </w:r>
          </w:p>
        </w:tc>
        <w:tc>
          <w:tcPr>
            <w:tcW w:type="dxa" w:w="8064"/>
          </w:tcPr>
          <w:p>
            <w:r>
              <w:t>Justify recommendations and identify uncertainties and unintended consequences.</w:t>
            </w:r>
          </w:p>
        </w:tc>
      </w:tr>
    </w:tbl>
    <w:p>
      <w:pPr>
        <w:pStyle w:val="Heading1"/>
      </w:pPr>
      <w:r>
        <w:t>3. AWS Services and Technology Stack</w:t>
      </w:r>
    </w:p>
    <w:tbl>
      <w:tblPr>
        <w:tblStyle w:val="TableGrid"/>
        <w:tblW w:type="auto" w:w="0"/>
        <w:tblLayout w:type="autofit"/>
        <w:tblLook w:firstColumn="1" w:firstRow="1" w:lastColumn="0" w:lastRow="0" w:noHBand="0" w:noVBand="1" w:val="04A0"/>
      </w:tblPr>
      <w:tblGrid>
        <w:gridCol w:w="4968"/>
        <w:gridCol w:w="4968"/>
      </w:tblGrid>
      <w:tr>
        <w:tc>
          <w:tcPr>
            <w:tcW w:type="dxa" w:w="4968"/>
            <w:shd w:fill="235D46"/>
          </w:tcPr>
          <w:p>
            <w:r>
              <w:rPr>
                <w:b/>
                <w:color w:val="FFFFFF"/>
              </w:rPr>
              <w:t>System Module</w:t>
            </w:r>
          </w:p>
        </w:tc>
        <w:tc>
          <w:tcPr>
            <w:tcW w:type="dxa" w:w="4968"/>
            <w:shd w:fill="235D46"/>
          </w:tcPr>
          <w:p>
            <w:r>
              <w:rPr>
                <w:b/>
                <w:color w:val="FFFFFF"/>
              </w:rPr>
              <w:t>AWS Services</w:t>
            </w:r>
          </w:p>
        </w:tc>
      </w:tr>
      <w:tr>
        <w:tc>
          <w:tcPr>
            <w:tcW w:type="dxa" w:w="2448"/>
          </w:tcPr>
          <w:p>
            <w:r>
              <w:t>Data Engine</w:t>
            </w:r>
          </w:p>
        </w:tc>
        <w:tc>
          <w:tcPr>
            <w:tcW w:type="dxa" w:w="7920"/>
          </w:tcPr>
          <w:p>
            <w:r>
              <w:t>Amazon S3; AWS Glue; Amazon Athena</w:t>
            </w:r>
          </w:p>
        </w:tc>
      </w:tr>
      <w:tr>
        <w:tc>
          <w:tcPr>
            <w:tcW w:type="dxa" w:w="2448"/>
          </w:tcPr>
          <w:p>
            <w:r>
              <w:t>AI Optimisation</w:t>
            </w:r>
          </w:p>
        </w:tc>
        <w:tc>
          <w:tcPr>
            <w:tcW w:type="dxa" w:w="7920"/>
          </w:tcPr>
          <w:p>
            <w:r>
              <w:t>Amazon SageMaker; AWS Lambda; AWS Batch</w:t>
            </w:r>
          </w:p>
        </w:tc>
      </w:tr>
      <w:tr>
        <w:tc>
          <w:tcPr>
            <w:tcW w:type="dxa" w:w="2448"/>
          </w:tcPr>
          <w:p>
            <w:r>
              <w:t>Scenario Simulator</w:t>
            </w:r>
          </w:p>
        </w:tc>
        <w:tc>
          <w:tcPr>
            <w:tcW w:type="dxa" w:w="7920"/>
          </w:tcPr>
          <w:p>
            <w:r>
              <w:t>AWS SimSpace Weaver; AWS Lambda; Amazon EventBridge</w:t>
            </w:r>
          </w:p>
        </w:tc>
      </w:tr>
      <w:tr>
        <w:tc>
          <w:tcPr>
            <w:tcW w:type="dxa" w:w="2448"/>
          </w:tcPr>
          <w:p>
            <w:r>
              <w:t>Decision Explainer</w:t>
            </w:r>
          </w:p>
        </w:tc>
        <w:tc>
          <w:tcPr>
            <w:tcW w:type="dxa" w:w="7920"/>
          </w:tcPr>
          <w:p>
            <w:r>
              <w:t>Amazon Bedrock; Amazon OpenSearch Service</w:t>
            </w:r>
          </w:p>
        </w:tc>
      </w:tr>
      <w:tr>
        <w:tc>
          <w:tcPr>
            <w:tcW w:type="dxa" w:w="2448"/>
          </w:tcPr>
          <w:p>
            <w:r>
              <w:t>Interactive Dashboard</w:t>
            </w:r>
          </w:p>
        </w:tc>
        <w:tc>
          <w:tcPr>
            <w:tcW w:type="dxa" w:w="7920"/>
          </w:tcPr>
          <w:p>
            <w:r>
              <w:t>Amazon Location Service; Amazon QuickSight; Amazon Managed Grafana</w:t>
            </w:r>
          </w:p>
        </w:tc>
      </w:tr>
    </w:tbl>
    <w:p>
      <w:pPr>
        <w:pStyle w:val="Heading1"/>
      </w:pPr>
      <w:r>
        <w:t>4. Expected Outcome</w:t>
      </w:r>
    </w:p>
    <w:p>
      <w:r>
        <w:t>The proposed platform will help urban planners compare sustainability interventions, allocate limited resources, anticipate climate-related disruptions, and understand who benefits from each decision. Its recommendations should make trade-offs transparent rather than treating any single environmental metric as the only goal.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Sustainable Development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D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