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3A5C"/>
          <w:sz w:val="48"/>
          <w:szCs w:val="48"/>
        </w:rPr>
        <w:t xml:space="preserve">Lead Scoring Agent</w:t>
      </w:r>
    </w:p>
    <w:p>
      <w:pPr>
        <w:spacing w:after="20"/>
      </w:pPr>
      <w:r>
        <w:rPr>
          <w:rFonts w:ascii="Arial" w:cs="Arial" w:eastAsia="Arial" w:hAnsi="Arial"/>
          <w:color w:val="2E75B6"/>
          <w:sz w:val="34"/>
          <w:szCs w:val="34"/>
        </w:rPr>
        <w:t xml:space="preserve">Operational KPI Reference</w:t>
      </w:r>
    </w:p>
    <w:p>
      <w:pPr>
        <w:pBdr>
          <w:bottom w:val="single" w:color="1B3A5C" w:sz="6" w:space="10"/>
        </w:pBdr>
        <w:spacing w:after="100"/>
      </w:pPr>
    </w:p>
    <w:p>
      <w:pPr>
        <w:spacing w:after="100" w:before="160" w:line="300"/>
      </w:pPr>
      <w:r>
        <w:rPr>
          <w:rFonts w:ascii="Arial" w:cs="Arial" w:eastAsia="Arial" w:hAnsi="Arial"/>
          <w:b/>
          <w:bCs/>
          <w:color w:val="555555"/>
          <w:sz w:val="21"/>
          <w:szCs w:val="21"/>
        </w:rPr>
        <w:t xml:space="preserve">Current Scale:  </w:t>
      </w:r>
      <w:r>
        <w:rPr>
          <w:rFonts w:ascii="Arial" w:cs="Arial" w:eastAsia="Arial" w:hAnsi="Arial"/>
          <w:color w:val="555555"/>
          <w:sz w:val="21"/>
          <w:szCs w:val="21"/>
        </w:rPr>
        <w:t xml:space="preserve">4–5 tenants, 50–60 leads/day, ~12–15 leads/hour during business hours</w:t>
      </w:r>
    </w:p>
    <w:p>
      <w:pPr>
        <w:spacing w:after="100" w:before="60" w:line="300"/>
      </w:pPr>
      <w:r>
        <w:rPr>
          <w:rFonts w:ascii="Arial" w:cs="Arial" w:eastAsia="Arial" w:hAnsi="Arial"/>
          <w:b/>
          <w:bCs/>
          <w:color w:val="555555"/>
          <w:sz w:val="21"/>
          <w:szCs w:val="21"/>
        </w:rPr>
        <w:t xml:space="preserve">Document Purpose:  </w:t>
      </w:r>
      <w:r>
        <w:rPr>
          <w:rFonts w:ascii="Arial" w:cs="Arial" w:eastAsia="Arial" w:hAnsi="Arial"/>
          <w:color w:val="555555"/>
          <w:sz w:val="21"/>
          <w:szCs w:val="21"/>
        </w:rPr>
        <w:t xml:space="preserve">This document defines every operational KPI for the lead scoring agent pipeline. Each KPI includes its description, target value, measurement scope (system-wide, per-tenant, or per-source), how it drives design decisions, what happens when it’s breached, and how targets change at higher scale.</w:t>
      </w:r>
    </w:p>
    <w:p>
      <w:pPr>
        <w:spacing w:after="100" w:before="60" w:line="300"/>
      </w:pPr>
      <w:r>
        <w:rPr>
          <w:rFonts w:ascii="Arial" w:cs="Arial" w:eastAsia="Arial" w:hAnsi="Arial"/>
          <w:b/>
          <w:bCs/>
          <w:color w:val="D84315"/>
          <w:sz w:val="21"/>
          <w:szCs w:val="21"/>
        </w:rPr>
        <w:t xml:space="preserve">Status:  </w:t>
      </w:r>
      <w:r>
        <w:rPr>
          <w:rFonts w:ascii="Arial" w:cs="Arial" w:eastAsia="Arial" w:hAnsi="Arial"/>
          <w:color w:val="D84315"/>
          <w:sz w:val="21"/>
          <w:szCs w:val="21"/>
        </w:rPr>
        <w:t xml:space="preserve">Draft — All targets pending team review and validation against real benchmarks</w:t>
      </w:r>
    </w:p>
    <w:p>
      <w:r>
        <w:br w:type="page"/>
      </w:r>
    </w:p>
    <w:p>
      <w:pPr>
        <w:pStyle w:val="Heading1"/>
        <w:spacing w:after="200" w:before="400"/>
      </w:pPr>
      <w:r>
        <w:rPr>
          <w:rFonts w:ascii="Arial" w:cs="Arial" w:eastAsia="Arial" w:hAnsi="Arial"/>
          <w:b/>
          <w:bCs/>
          <w:color w:val="1B3A5C"/>
          <w:sz w:val="32"/>
          <w:szCs w:val="32"/>
        </w:rPr>
        <w:t xml:space="preserve">1.  Response Time &amp; Latency</w:t>
      </w:r>
    </w:p>
    <w:p>
      <w:pPr>
        <w:spacing w:after="100" w:before="60" w:line="300"/>
      </w:pPr>
      <w:r>
        <w:rPr>
          <w:rFonts w:ascii="Arial" w:cs="Arial" w:eastAsia="Arial" w:hAnsi="Arial"/>
          <w:sz w:val="21"/>
          <w:szCs w:val="21"/>
        </w:rPr>
        <w:t xml:space="preserve">Response time KPIs measure how long each stage of the pipeline takes to process a single lead. These are the most directly visible metrics to clients — a slow system erodes trust regardless of how accurate the scoring is.</w:t>
      </w:r>
    </w:p>
    <w:p>
      <w:pPr>
        <w:pStyle w:val="Heading2"/>
        <w:spacing w:after="140" w:before="360"/>
      </w:pPr>
      <w:r>
        <w:rPr>
          <w:rFonts w:ascii="Arial" w:cs="Arial" w:eastAsia="Arial" w:hAnsi="Arial"/>
          <w:b/>
          <w:bCs/>
          <w:color w:val="1B3A5C"/>
          <w:sz w:val="26"/>
          <w:szCs w:val="26"/>
        </w:rPr>
        <w:t xml:space="preserve">1.1  End-to-End Pipeline Latency</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&lt;60 seconds (p95)</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6A1B9A"/>
          <w:sz w:val="21"/>
          <w:szCs w:val="21"/>
        </w:rPr>
        <w:t xml:space="preserve">Both: System Global + Per-Tenant</w:t>
      </w:r>
      <w:r>
        <w:rPr>
          <w:rFonts w:ascii="Arial" w:cs="Arial" w:eastAsia="Arial" w:hAnsi="Arial"/>
          <w:i/>
          <w:iCs/>
          <w:color w:val="666666"/>
          <w:sz w:val="20"/>
          <w:szCs w:val="20"/>
        </w:rPr>
        <w:t xml:space="preserve">  —  Global p95 tells you if the pipeline is healthy. Per-tenant p95 catches cases where one tenant’s leads consistently take longer due to their specific source mix or enrichment complexity.</w:t>
      </w:r>
    </w:p>
    <w:p>
      <w:pPr>
        <w:spacing w:after="100" w:before="60" w:line="300"/>
      </w:pPr>
      <w:r>
        <w:rPr>
          <w:rFonts w:ascii="Arial" w:cs="Arial" w:eastAsia="Arial" w:hAnsi="Arial"/>
          <w:sz w:val="21"/>
          <w:szCs w:val="21"/>
        </w:rPr>
        <w:t xml:space="preserve">This is the total time from the moment a lead’s webhook payload hits your server to the moment a fully scored and classified lead record is written to the database. It is the sum of all pipeline stages: ingestion, source fetch, enrichment, normalisation, and LLM scoring.</w:t>
      </w:r>
    </w:p>
    <w:p>
      <w:pPr>
        <w:spacing w:after="100" w:before="60" w:line="300"/>
      </w:pPr>
      <w:r>
        <w:rPr>
          <w:rFonts w:ascii="Arial" w:cs="Arial" w:eastAsia="Arial" w:hAnsi="Arial"/>
          <w:sz w:val="21"/>
          <w:szCs w:val="21"/>
        </w:rPr>
        <w:t xml:space="preserve">At the current scale, there is virtually no queue wait time since leads arrive roughly once every 4–5 minutes. The 60-second budget is therefore entirely consumed by actual processing, not waiting. This is why the target is tighter than the original 90-second proposal, which assumed higher concurrency and queue contention that doesn’t exist yet.</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KPI acts as a total budget constraint. Every architectural decision about parallelism, timeout policies, and retry limits must fit within this 60-second envelope. If any individual stage exceeds its allocated portion, the remaining stages are squeezed. It forces the team to run source fetch and enrichment in parallel rather than sequentially, because running them back-to-back would consume 27 seconds on just those two stages alone.</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If the p95 exceeds 60 seconds, investigate which stage is over-running its budget by checking per-stage latency metrics. The most likely culprits are enrichment API timeouts or LLM response time. If the breach is tenant-specific, check whether that tenant’s lead sources include slower APIs like Instagram or whether their enrichment profile hits more external services than others.</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At 50K+ leads/day, queue wait time becomes a real factor. Increase the target to 90–120 seconds and add a separate “queue wait time” metric to distinguish waiting from processing.</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1.2  Webhook Ingestion Latency</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&lt;2 seconds</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2E7D32"/>
          <w:sz w:val="21"/>
          <w:szCs w:val="21"/>
        </w:rPr>
        <w:t xml:space="preserve">Per-Source</w:t>
      </w:r>
      <w:r>
        <w:rPr>
          <w:rFonts w:ascii="Arial" w:cs="Arial" w:eastAsia="Arial" w:hAnsi="Arial"/>
          <w:i/>
          <w:iCs/>
          <w:color w:val="666666"/>
          <w:sz w:val="20"/>
          <w:szCs w:val="20"/>
        </w:rPr>
        <w:t xml:space="preserve">  —  Different sources (WhatsApp, Facebook, web forms) have different webhook formats and validation complexity. Track per-source to catch if one source’s handler is slower than others.</w:t>
      </w:r>
    </w:p>
    <w:p>
      <w:pPr>
        <w:spacing w:after="100" w:before="60" w:line="300"/>
      </w:pPr>
      <w:r>
        <w:rPr>
          <w:rFonts w:ascii="Arial" w:cs="Arial" w:eastAsia="Arial" w:hAnsi="Arial"/>
          <w:sz w:val="21"/>
          <w:szCs w:val="21"/>
        </w:rPr>
        <w:t xml:space="preserve">This measures the time from when your server receives the HTTP webhook request to when it returns a 200 OK response with the lead ID queued for processing. This is the entry point of the entire pipeline.</w:t>
      </w:r>
    </w:p>
    <w:p>
      <w:pPr>
        <w:spacing w:after="100" w:before="60" w:line="300"/>
      </w:pPr>
      <w:r>
        <w:rPr>
          <w:rFonts w:ascii="Arial" w:cs="Arial" w:eastAsia="Arial" w:hAnsi="Arial"/>
          <w:sz w:val="21"/>
          <w:szCs w:val="21"/>
        </w:rPr>
        <w:t xml:space="preserve">This is a metric that was not included in the original KPI document but is critical to add. The webhook handler is the only point in the pipeline where a failure means the lead is silently lost — the source platform sent you data, your server didn’t acknowledge it, and nobody knows it happened. Every other stage failure can be recovered from the queue.</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KPI forces you to keep the webhook handler extremely thin. It should do three things only: validate that the payload is well-formed, assign a lead ID, and drop the payload into the processing queue. No enrichment, no CRM lookups, no LLM calls inside the handler. All heavy work happens asynchronously after the lead is safely queued. If you tried to do any processing inside the webhook, a slow external API call could cause the handler to timeout, and the source platform would consider the delivery failed.</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If ingestion latency exceeds 2 seconds, the webhook handler is doing too much work or the queue write is slow. Check if any validation logic was added that makes external calls, or if the message queue itself is under pressure.</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This target stays the same regardless of scale. Webhook ingestion should always be near-instant. At higher volume, you may need to horizontally scale the webhook receivers, but the per-request latency target doesn’t change.</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1.3  Source Fetch Latency</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&lt;12 seconds</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00695C"/>
          <w:sz w:val="21"/>
          <w:szCs w:val="21"/>
        </w:rPr>
        <w:t xml:space="preserve">Per-Tenant + Per-Source</w:t>
      </w:r>
      <w:r>
        <w:rPr>
          <w:rFonts w:ascii="Arial" w:cs="Arial" w:eastAsia="Arial" w:hAnsi="Arial"/>
          <w:i/>
          <w:iCs/>
          <w:color w:val="666666"/>
          <w:sz w:val="20"/>
          <w:szCs w:val="20"/>
        </w:rPr>
        <w:t xml:space="preserve">  —  Different tenants use different source combinations. A tenant using only WhatsApp will be faster than one using WhatsApp + Instagram + Facebook. Per-source tracking identifies which API is the bottleneck.</w:t>
      </w:r>
    </w:p>
    <w:p>
      <w:pPr>
        <w:spacing w:after="100" w:before="60" w:line="300"/>
      </w:pPr>
      <w:r>
        <w:rPr>
          <w:rFonts w:ascii="Arial" w:cs="Arial" w:eastAsia="Arial" w:hAnsi="Arial"/>
          <w:sz w:val="21"/>
          <w:szCs w:val="21"/>
        </w:rPr>
        <w:t xml:space="preserve">This is the time taken to query all of a tenant’s connected lead sources in parallel. The clock starts when the source fetch phase begins and stops when all sources have returned data or timed out.</w:t>
      </w:r>
    </w:p>
    <w:p>
      <w:pPr>
        <w:spacing w:after="100" w:before="60" w:line="300"/>
      </w:pPr>
      <w:r>
        <w:rPr>
          <w:rFonts w:ascii="Arial" w:cs="Arial" w:eastAsia="Arial" w:hAnsi="Arial"/>
          <w:sz w:val="21"/>
          <w:szCs w:val="21"/>
        </w:rPr>
        <w:t xml:space="preserve">Sources are queried in parallel with a 10-second per-source timeout. The total phase duration is bounded by the slowest source, not the sum of all sources. Instagram Graph API is typically the slowest, often taking 6–8 seconds. If a source times out, the pipeline continues without that source’s data and the lead is flagged as having incomplete source coverage.</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The parallel execution requirement means your source connectors must be independent and non-blocking. Each connector runs as its own async task with its own timeout. A failure in the Instagram connector cannot block or delay the WhatsApp connector. This KPI also drives the per-source timeout of 10 seconds — without that hard cutoff, a single hanging API call could stall the entire phase.</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Check which specific source is slow. If it’s a specific tenant, their OAuth token or API credentials may be degraded. If it’s a specific source across all tenants, the source platform itself may be experiencing issues. Refer to the circuit breaker logic driven by the retry rate KPI.</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At higher concurrency, API rate limits become a factor. You may need per-tenant rate limit pools and the timeout may need to increase to 12–15 seconds to accommodate retry waits within the phase.</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1.4  Data Gather / Enrichment Latency</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&lt;15 seconds</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6A1B9A"/>
          <w:sz w:val="21"/>
          <w:szCs w:val="21"/>
        </w:rPr>
        <w:t xml:space="preserve">Both: System Global + Per-Tenant</w:t>
      </w:r>
      <w:r>
        <w:rPr>
          <w:rFonts w:ascii="Arial" w:cs="Arial" w:eastAsia="Arial" w:hAnsi="Arial"/>
          <w:i/>
          <w:iCs/>
          <w:color w:val="666666"/>
          <w:sz w:val="20"/>
          <w:szCs w:val="20"/>
        </w:rPr>
        <w:t xml:space="preserve">  —  Enrichment depth varies by tenant configuration. Some tenants want full LinkedIn + company lookup, others only want email verification. Per-tenant tracking catches over-engineered enrichment profiles.</w:t>
      </w:r>
    </w:p>
    <w:p>
      <w:pPr>
        <w:spacing w:after="100" w:before="60" w:line="300"/>
      </w:pPr>
      <w:r>
        <w:rPr>
          <w:rFonts w:ascii="Arial" w:cs="Arial" w:eastAsia="Arial" w:hAnsi="Arial"/>
          <w:sz w:val="21"/>
          <w:szCs w:val="21"/>
        </w:rPr>
        <w:t xml:space="preserve">This covers CRM lookups, public data verification, LinkedIn profile pulls, company database queries, and email validation. It begins after source data is fetched and produces the enriched lead profile that feeds into normalisation and scoring.</w:t>
      </w:r>
    </w:p>
    <w:p>
      <w:pPr>
        <w:spacing w:after="100" w:before="60" w:line="300"/>
      </w:pPr>
      <w:r>
        <w:rPr>
          <w:rFonts w:ascii="Arial" w:cs="Arial" w:eastAsia="Arial" w:hAnsi="Arial"/>
          <w:sz w:val="21"/>
          <w:szCs w:val="21"/>
        </w:rPr>
        <w:t xml:space="preserve">CRM calls (Zoho, HubSpot) should return within 2 seconds. The remaining 13-second budget covers public API variability. If a specific enrichment source fails, the pipeline proceeds with available data rather than blocking. The lead’s confidence score is adjusted downward to reflect the missing enrichment data.</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KPI, combined with the retry depth target of ≤2 retries, means your enrichment agent cannot afford long retry cycles. If a LinkedIn lookup fails twice within 3 seconds, you move on. The lead gets scored with whatever data you have. This is a deliberate trade-off: partial data with fast response beats complete data with slow response.</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Most likely cause is a slow or unreachable enrichment API. Check if the enrichment provider is having an outage. If the breach is per-tenant, check if that tenant’s enrichment configuration includes an unusually high number of sources.</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At higher volume, enrichment calls compete for API rate limits. Budget increases to 20 seconds and you may need to implement an enrichment cache so repeated lookups for the same company or domain don’t hit external APIs every time.</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1.5  Normalisation Latency</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&lt;3 seconds</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1565C0"/>
          <w:sz w:val="21"/>
          <w:szCs w:val="21"/>
        </w:rPr>
        <w:t xml:space="preserve">System Global</w:t>
      </w:r>
      <w:r>
        <w:rPr>
          <w:rFonts w:ascii="Arial" w:cs="Arial" w:eastAsia="Arial" w:hAnsi="Arial"/>
          <w:i/>
          <w:iCs/>
          <w:color w:val="666666"/>
          <w:sz w:val="20"/>
          <w:szCs w:val="20"/>
        </w:rPr>
        <w:t xml:space="preserve">  —  This is purely computational with no external dependencies. It should perform identically regardless of which tenant or source the lead came from. If per-tenant variance appears, the normalisation logic has a bug.</w:t>
      </w:r>
    </w:p>
    <w:p>
      <w:pPr>
        <w:spacing w:after="100" w:before="60" w:line="300"/>
      </w:pPr>
      <w:r>
        <w:rPr>
          <w:rFonts w:ascii="Arial" w:cs="Arial" w:eastAsia="Arial" w:hAnsi="Arial"/>
          <w:sz w:val="21"/>
          <w:szCs w:val="21"/>
        </w:rPr>
        <w:t xml:space="preserve">Normalisation is the schema unification step where data from different sources (WhatsApp message format, Instagram DM format, web form fields) is mapped into a single standardised lead record with quality scoring.</w:t>
      </w:r>
    </w:p>
    <w:p>
      <w:pPr>
        <w:spacing w:after="100" w:before="60" w:line="300"/>
      </w:pPr>
      <w:r>
        <w:rPr>
          <w:rFonts w:ascii="Arial" w:cs="Arial" w:eastAsia="Arial" w:hAnsi="Arial"/>
          <w:sz w:val="21"/>
          <w:szCs w:val="21"/>
        </w:rPr>
        <w:t xml:space="preserve">This phase makes no external API calls. It is pure data transformation and validation logic running on your own infrastructure. If this step exceeds 3 seconds, it is a signal that the normalisation logic is over-engineered or has a performance bug, not that any external system is slow.</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Keep normalisation simple. It should be a set of mapping functions and validation rules, not an LLM call or a database-heavy operation. Some teams are tempted to use AI for fuzzy field matching during normalisation — this KPI prevents that by making the budget too tight for an LLM round-trip.</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Profile the normalisation code. Look for accidental database queries, regex operations on large text fields, or schema validation that scales poorly with lead complexity.</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This target stays the same regardless of scale. Computational operations should not degrade with volume since each lead is normalised independently.</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1.6  LLM Scoring Latency</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&lt;20 seconds</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6A1B9A"/>
          <w:sz w:val="21"/>
          <w:szCs w:val="21"/>
        </w:rPr>
        <w:t xml:space="preserve">Both: System Global + Per-Tenant</w:t>
      </w:r>
      <w:r>
        <w:rPr>
          <w:rFonts w:ascii="Arial" w:cs="Arial" w:eastAsia="Arial" w:hAnsi="Arial"/>
          <w:i/>
          <w:iCs/>
          <w:color w:val="666666"/>
          <w:sz w:val="20"/>
          <w:szCs w:val="20"/>
        </w:rPr>
        <w:t xml:space="preserve">  —  Global tracking catches LLM provider issues. Per-tenant tracking catches cases where a tenant’s scoring rubric produces unusually large prompts that take longer to process.</w:t>
      </w:r>
    </w:p>
    <w:p>
      <w:pPr>
        <w:spacing w:after="100" w:before="60" w:line="300"/>
      </w:pPr>
      <w:r>
        <w:rPr>
          <w:rFonts w:ascii="Arial" w:cs="Arial" w:eastAsia="Arial" w:hAnsi="Arial"/>
          <w:sz w:val="21"/>
          <w:szCs w:val="21"/>
        </w:rPr>
        <w:t xml:space="preserve">This is the time from prompt assembly (combining the enriched lead data with the tenant’s scoring rubric) through the LLM API call to parsing and validating the structured JSON response.</w:t>
      </w:r>
    </w:p>
    <w:p>
      <w:pPr>
        <w:spacing w:after="100" w:before="60" w:line="300"/>
      </w:pPr>
      <w:r>
        <w:rPr>
          <w:rFonts w:ascii="Arial" w:cs="Arial" w:eastAsia="Arial" w:hAnsi="Arial"/>
          <w:sz w:val="21"/>
          <w:szCs w:val="21"/>
        </w:rPr>
        <w:t xml:space="preserve">Groq typically returns in 3–8 seconds. OpenAI can take 10–20 seconds depending on model and load. The 20-second budget covers the worst case with a slower provider and includes prompt assembly and response parsing time. At the current scale, you will not hit LLM rate limits, so the variability comes from model response time, not queuing on the provider’s side.</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KPI justifies having a fallback LLM provider configured. If your primary provider (say Groq) is down, you switch to the fallback (say OpenAI). The 20-second budget accommodates the slower fallback. It also constrains prompt size — if a tenant’s scoring rubric plus the enriched lead data produces a prompt that takes 25 seconds to process, you need to trim the prompt, not increase the budget.</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Check the LLM provider’s status page. If the provider is healthy, examine prompt size — it may have grown due to a tenant adding extensive scoring rubric rules. If consistently breached, consider switching to a faster model or reducing prompt verbosity.</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At higher volume, LLM rate limits become the primary bottleneck. You may need to batch scoring requests, use multiple API keys, or implement a scoring queue with concurrency limits. Budget may increase to 30 seconds.</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1.7  Hot Lead Notification Delivery</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&lt;30 seconds from score finalisation</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E65100"/>
          <w:sz w:val="21"/>
          <w:szCs w:val="21"/>
        </w:rPr>
        <w:t xml:space="preserve">Per-Tenant</w:t>
      </w:r>
      <w:r>
        <w:rPr>
          <w:rFonts w:ascii="Arial" w:cs="Arial" w:eastAsia="Arial" w:hAnsi="Arial"/>
          <w:i/>
          <w:iCs/>
          <w:color w:val="666666"/>
          <w:sz w:val="20"/>
          <w:szCs w:val="20"/>
        </w:rPr>
        <w:t xml:space="preserve">  —  Each tenant has their own notification channel configuration (Slack, email, webhook, SMS). A failure here is tenant-specific — Tenant A’s Slack integration might be broken while Tenant B’s email notifications work fine.</w:t>
      </w:r>
    </w:p>
    <w:p>
      <w:pPr>
        <w:spacing w:after="100" w:before="60" w:line="300"/>
      </w:pPr>
      <w:r>
        <w:rPr>
          <w:rFonts w:ascii="Arial" w:cs="Arial" w:eastAsia="Arial" w:hAnsi="Arial"/>
          <w:sz w:val="21"/>
          <w:szCs w:val="21"/>
        </w:rPr>
        <w:t xml:space="preserve">This is the most business-critical metric in the entire system. It measures the time between the scoring phase completing with a “Hot” classification and the client actually receiving the notification through their configured channel.</w:t>
      </w:r>
    </w:p>
    <w:p>
      <w:pPr>
        <w:spacing w:after="100" w:before="60" w:line="300"/>
      </w:pPr>
      <w:r>
        <w:rPr>
          <w:rFonts w:ascii="Arial" w:cs="Arial" w:eastAsia="Arial" w:hAnsi="Arial"/>
          <w:sz w:val="21"/>
          <w:szCs w:val="21"/>
        </w:rPr>
        <w:t xml:space="preserve">The entire point of the lead scoring agent is to help sales teams act fast on hot leads. A hot lead notification that arrives 10 minutes late has lost most of its value. The prospect may have moved on, contacted a competitor, or simply cooled off. This is why the target is tighter than any other stage at 30 seconds.</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is the KPI that forces notification delivery to be completely decoupled from document generation. The moment a lead is scored as Hot, the notification fires independently. It does not wait for the output document to be generated, formatted, or stored. These are two parallel tasks. Additionally, this KPI requires redundant notification channels — if the primary channel (say Slack webhook) fails, a fallback (email or SMS) fires immediately rather than retrying the primary.</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Check the tenant’s notification channel health. Is their Slack webhook responding? Is the email service delivering? If the notification was sent on time but the client didn’t receive it, the issue is on the channel side. Implement delivery confirmation where possible.</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This target should remain at 30 seconds or tighten further, regardless of scale. At higher volume, the notification service may need its own queue to handle bursts, but per-notification latency must stay low.</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1.8  Output Document Generation</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&lt;8 seconds</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1565C0"/>
          <w:sz w:val="21"/>
          <w:szCs w:val="21"/>
        </w:rPr>
        <w:t xml:space="preserve">System Global</w:t>
      </w:r>
      <w:r>
        <w:rPr>
          <w:rFonts w:ascii="Arial" w:cs="Arial" w:eastAsia="Arial" w:hAnsi="Arial"/>
          <w:i/>
          <w:iCs/>
          <w:color w:val="666666"/>
          <w:sz w:val="20"/>
          <w:szCs w:val="20"/>
        </w:rPr>
        <w:t xml:space="preserve">  —  Document generation uses the same templates and logic regardless of tenant. If one tenant’s documents take longer, the template may be overly complex.</w:t>
      </w:r>
    </w:p>
    <w:p>
      <w:pPr>
        <w:spacing w:after="100" w:before="60" w:line="300"/>
      </w:pPr>
      <w:r>
        <w:rPr>
          <w:rFonts w:ascii="Arial" w:cs="Arial" w:eastAsia="Arial" w:hAnsi="Arial"/>
          <w:sz w:val="21"/>
          <w:szCs w:val="21"/>
        </w:rPr>
        <w:t xml:space="preserve">This is the time to produce the categorised lead entry in the output document or dashboard after scoring completes. This is a post-scoring step and must not block notification delivery.</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By explicitly separating this from notification delivery and giving it its own budget, you prevent a slow document generation step from delaying the most time-critical action. If document generation fails entirely, the lead still exists in the database as scored — it just hasn’t been formatted into the output document yet. This is a recoverable situation.</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Review the document template complexity. If generating a single lead’s entry takes more than 8 seconds, the template likely includes unnecessary formatting or computation.</w:t>
      </w:r>
    </w:p>
    <w:p>
      <w:r>
        <w:br w:type="page"/>
      </w:r>
    </w:p>
    <w:p>
      <w:pPr>
        <w:pStyle w:val="Heading1"/>
        <w:spacing w:after="200" w:before="400"/>
      </w:pPr>
      <w:r>
        <w:rPr>
          <w:rFonts w:ascii="Arial" w:cs="Arial" w:eastAsia="Arial" w:hAnsi="Arial"/>
          <w:b/>
          <w:bCs/>
          <w:color w:val="1B3A5C"/>
          <w:sz w:val="32"/>
          <w:szCs w:val="32"/>
        </w:rPr>
        <w:t xml:space="preserve">2.  Throughput</w:t>
      </w:r>
    </w:p>
    <w:p>
      <w:pPr>
        <w:spacing w:after="100" w:before="60" w:line="300"/>
      </w:pPr>
      <w:r>
        <w:rPr>
          <w:rFonts w:ascii="Arial" w:cs="Arial" w:eastAsia="Arial" w:hAnsi="Arial"/>
          <w:sz w:val="21"/>
          <w:szCs w:val="21"/>
        </w:rPr>
        <w:t xml:space="preserve">Throughput KPIs define the system’s processing capacity. At the current scale of 50–60 leads per day, the system is far from capacity limits. These targets exist to ensure reasonable headroom for small spikes without over-engineering for volume that doesn’t exist yet.</w:t>
      </w:r>
    </w:p>
    <w:p>
      <w:pPr>
        <w:pStyle w:val="Heading2"/>
        <w:spacing w:after="140" w:before="360"/>
      </w:pPr>
      <w:r>
        <w:rPr>
          <w:rFonts w:ascii="Arial" w:cs="Arial" w:eastAsia="Arial" w:hAnsi="Arial"/>
          <w:b/>
          <w:bCs/>
          <w:color w:val="1B3A5C"/>
          <w:sz w:val="26"/>
          <w:szCs w:val="26"/>
        </w:rPr>
        <w:t xml:space="preserve">2.1  Sustained Throughput</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≥5 leads per minute</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1565C0"/>
          <w:sz w:val="21"/>
          <w:szCs w:val="21"/>
        </w:rPr>
        <w:t xml:space="preserve">System Global</w:t>
      </w:r>
      <w:r>
        <w:rPr>
          <w:rFonts w:ascii="Arial" w:cs="Arial" w:eastAsia="Arial" w:hAnsi="Arial"/>
          <w:i/>
          <w:iCs/>
          <w:color w:val="666666"/>
          <w:sz w:val="20"/>
          <w:szCs w:val="20"/>
        </w:rPr>
        <w:t xml:space="preserve">  —  This measures total system capacity, not any individual tenant. It answers the question: if all tenants are sending leads simultaneously, can the system keep up?</w:t>
      </w:r>
    </w:p>
    <w:p>
      <w:pPr>
        <w:spacing w:after="100" w:before="60" w:line="300"/>
      </w:pPr>
      <w:r>
        <w:rPr>
          <w:rFonts w:ascii="Arial" w:cs="Arial" w:eastAsia="Arial" w:hAnsi="Arial"/>
          <w:sz w:val="21"/>
          <w:szCs w:val="21"/>
        </w:rPr>
        <w:t xml:space="preserve">The actual average load is approximately 0.25 leads per minute (about one lead every 4–5 minutes during business hours). The 5 leads/minute target provides 20x headroom over the average, which is sufficient to handle small bursts from campaign-driven lead sources without any queuing delays.</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At this target, you do not need horizontal scaling, worker pools, or complex queue management. A single pipeline worker can handle 5 leads per minute comfortably. This keeps the infrastructure simple and cost-effective. The KPI serves as a floor — if throughput drops below 5/min under any circumstances, something is fundamentally broken.</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If throughput drops below 5/min during normal operation, the pipeline has a bottleneck or a stage is stuck. Check for hung API calls, database connection pool exhaustion, or a failed worker process.</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At 50K+ leads/day, target increases to 40+ leads/min. This requires parallel pipeline workers, queue-based load distribution, and likely multiple LLM API keys to avoid rate limits.</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2.2  Daily Processing Capacity (Total)</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≥300 leads per day across all tenants</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1565C0"/>
          <w:sz w:val="21"/>
          <w:szCs w:val="21"/>
        </w:rPr>
        <w:t xml:space="preserve">System Global</w:t>
      </w:r>
      <w:r>
        <w:rPr>
          <w:rFonts w:ascii="Arial" w:cs="Arial" w:eastAsia="Arial" w:hAnsi="Arial"/>
          <w:i/>
          <w:iCs/>
          <w:color w:val="666666"/>
          <w:sz w:val="20"/>
          <w:szCs w:val="20"/>
        </w:rPr>
        <w:t xml:space="preserve">  —  Total daily capacity is a system constraint. It ensures you can handle 5x your current volume without infrastructure changes.</w:t>
      </w:r>
    </w:p>
    <w:p>
      <w:pPr>
        <w:spacing w:after="100" w:before="60" w:line="300"/>
      </w:pPr>
      <w:r>
        <w:rPr>
          <w:rFonts w:ascii="Arial" w:cs="Arial" w:eastAsia="Arial" w:hAnsi="Arial"/>
          <w:sz w:val="21"/>
          <w:szCs w:val="21"/>
        </w:rPr>
        <w:t xml:space="preserve">At 50–60 leads per day currently, 300 represents a comfortable 5x buffer. This means you can onboard several more clients or absorb a client running a large campaign without hitting any ceiling.</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If you approach 300 leads/day consistently, it is time to begin scaling planning. This is a leading indicator, not an emergency — it tells you growth is outpacing your current infrastructure and you should start capacity planning.</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2.3  Per-Tenant Daily Capacity</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≥100 leads per day per tenant</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E65100"/>
          <w:sz w:val="21"/>
          <w:szCs w:val="21"/>
        </w:rPr>
        <w:t xml:space="preserve">Per-Tenant</w:t>
      </w:r>
      <w:r>
        <w:rPr>
          <w:rFonts w:ascii="Arial" w:cs="Arial" w:eastAsia="Arial" w:hAnsi="Arial"/>
          <w:i/>
          <w:iCs/>
          <w:color w:val="666666"/>
          <w:sz w:val="20"/>
          <w:szCs w:val="20"/>
        </w:rPr>
        <w:t xml:space="preserve">  —  This is a fairness mechanism. It prevents one tenant from consuming all system resources and starving other tenants.</w:t>
      </w:r>
    </w:p>
    <w:p>
      <w:pPr>
        <w:spacing w:after="100" w:before="60" w:line="300"/>
      </w:pPr>
      <w:r>
        <w:rPr>
          <w:rFonts w:ascii="Arial" w:cs="Arial" w:eastAsia="Arial" w:hAnsi="Arial"/>
          <w:sz w:val="21"/>
          <w:szCs w:val="21"/>
        </w:rPr>
        <w:t xml:space="preserve">No single tenant is expected to exceed 20–30 leads per day. The 100 leads/day ceiling provides ample buffer while still protecting other tenants from resource starvation. If a tenant needs more than 100/day, it should be a planned capacity increase, not a surprise that degrades service for everyone.</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KPI requires per-tenant rate limiting or quota enforcement in the pipeline. When a tenant approaches their daily limit, the system should throttle their incoming leads (not reject them) and alert the operations team.</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If a tenant exceeds 100/day, check if it’s a legitimate spike (campaign launch) or a misconfiguration (webhook loop, duplicate submissions). If legitimate, temporarily increase their quota with monitoring.</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Increases to 500+ leads/day per tenant. Requires per-tenant resource isolation to prevent cross-tenant interference at scale.</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2.4  Concurrent Tenant Support</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≥5 tenants simultaneously</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1565C0"/>
          <w:sz w:val="21"/>
          <w:szCs w:val="21"/>
        </w:rPr>
        <w:t xml:space="preserve">System Global</w:t>
      </w:r>
      <w:r>
        <w:rPr>
          <w:rFonts w:ascii="Arial" w:cs="Arial" w:eastAsia="Arial" w:hAnsi="Arial"/>
          <w:i/>
          <w:iCs/>
          <w:color w:val="666666"/>
          <w:sz w:val="20"/>
          <w:szCs w:val="20"/>
        </w:rPr>
        <w:t xml:space="preserve">  —  Tests system-level isolation. All tenants must be processable at the same time without interference.</w:t>
      </w:r>
    </w:p>
    <w:p>
      <w:pPr>
        <w:spacing w:after="100" w:before="60" w:line="300"/>
      </w:pPr>
      <w:r>
        <w:rPr>
          <w:rFonts w:ascii="Arial" w:cs="Arial" w:eastAsia="Arial" w:hAnsi="Arial"/>
          <w:sz w:val="21"/>
          <w:szCs w:val="21"/>
        </w:rPr>
        <w:t xml:space="preserve">The system must process leads for 5 tenants simultaneously without cross-tenant interference or resource starvation. This means tenant A’s leads being processed cannot slow down tenant B’s pipeline. Each tenant’s scoring rubric, source configuration, and notification channels operate independently.</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Tenant isolation must be baked into every layer: separate queue partitions or tenant-tagged messages, tenant-scoped database queries, tenant-specific LLM prompts with their scoring rubric, and tenant-configured notification channels. No shared mutable state between tenants.</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2.5  Peak Burst Capacity</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2x sustained (10 leads/min for up to 15 minutes)</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1565C0"/>
          <w:sz w:val="21"/>
          <w:szCs w:val="21"/>
        </w:rPr>
        <w:t xml:space="preserve">System Global</w:t>
      </w:r>
      <w:r>
        <w:rPr>
          <w:rFonts w:ascii="Arial" w:cs="Arial" w:eastAsia="Arial" w:hAnsi="Arial"/>
          <w:i/>
          <w:iCs/>
          <w:color w:val="666666"/>
          <w:sz w:val="20"/>
          <w:szCs w:val="20"/>
        </w:rPr>
        <w:t xml:space="preserve">  —  Burst capacity is a system-level concern. Individual tenants don’t need their own burst target at this scale.</w:t>
      </w:r>
    </w:p>
    <w:p>
      <w:pPr>
        <w:spacing w:after="100" w:before="60" w:line="300"/>
      </w:pPr>
      <w:r>
        <w:rPr>
          <w:rFonts w:ascii="Arial" w:cs="Arial" w:eastAsia="Arial" w:hAnsi="Arial"/>
          <w:sz w:val="21"/>
          <w:szCs w:val="21"/>
        </w:rPr>
        <w:t xml:space="preserve">During campaign launches or event-driven lead spikes, one tenant may temporarily generate leads much faster than usual. The system should handle 10 leads per minute for up to 15 minutes without degradation — meaning response time targets still hold during the burst.</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The queue absorbs bursts. Leads enter the queue faster than the pipeline processes them, but since the burst is short-lived (15 minutes), the queue drains once the burst subsides. The key constraint is that the queue must not overflow and the pipeline must not crash under 2x load.</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If a burst exceeds 10/min or lasts longer than 15 minutes, leads will queue up and response times will increase. Monitor queue depth during bursts. If queue depth grows continuously without stabilising, the burst has exceeded capacity.</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Increases to 3x sustained (120+ leads/min). Requires autoscaling workers, multiple LLM API keys, and potentially a priority queue so high-value tenants are processed first during bursts.</w:t>
      </w:r>
    </w:p>
    <w:p>
      <w:r>
        <w:br w:type="page"/>
      </w:r>
    </w:p>
    <w:p>
      <w:pPr>
        <w:pStyle w:val="Heading1"/>
        <w:spacing w:after="200" w:before="400"/>
      </w:pPr>
      <w:r>
        <w:rPr>
          <w:rFonts w:ascii="Arial" w:cs="Arial" w:eastAsia="Arial" w:hAnsi="Arial"/>
          <w:b/>
          <w:bCs/>
          <w:color w:val="1B3A5C"/>
          <w:sz w:val="32"/>
          <w:szCs w:val="32"/>
        </w:rPr>
        <w:t xml:space="preserve">3.  Retry Rate &amp; Failure Rate</w:t>
      </w:r>
    </w:p>
    <w:p>
      <w:pPr>
        <w:spacing w:after="100" w:before="60" w:line="300"/>
      </w:pPr>
      <w:r>
        <w:rPr>
          <w:rFonts w:ascii="Arial" w:cs="Arial" w:eastAsia="Arial" w:hAnsi="Arial"/>
          <w:sz w:val="21"/>
          <w:szCs w:val="21"/>
        </w:rPr>
        <w:t xml:space="preserve">These KPIs measure system reliability. At low volume, each individual failure is more visible and impactful to clients. A single lost lead out of 60 per day represents 1.7% of a tenant’s daily volume, which is noticeable. Targets are stricter than at higher scale because every lead matters more.</w:t>
      </w:r>
    </w:p>
    <w:p>
      <w:pPr>
        <w:pStyle w:val="Heading2"/>
        <w:spacing w:after="140" w:before="360"/>
      </w:pPr>
      <w:r>
        <w:rPr>
          <w:rFonts w:ascii="Arial" w:cs="Arial" w:eastAsia="Arial" w:hAnsi="Arial"/>
          <w:b/>
          <w:bCs/>
          <w:color w:val="1B3A5C"/>
          <w:sz w:val="26"/>
          <w:szCs w:val="26"/>
        </w:rPr>
        <w:t xml:space="preserve">3.1  Source API Retry Rate</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&lt;8%</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B71C1C"/>
          <w:sz w:val="21"/>
          <w:szCs w:val="21"/>
        </w:rPr>
        <w:t xml:space="preserve">All Three: Global + Per-Tenant + Per-Source</w:t>
      </w:r>
      <w:r>
        <w:rPr>
          <w:rFonts w:ascii="Arial" w:cs="Arial" w:eastAsia="Arial" w:hAnsi="Arial"/>
          <w:i/>
          <w:iCs/>
          <w:color w:val="666666"/>
          <w:sz w:val="20"/>
          <w:szCs w:val="20"/>
        </w:rPr>
        <w:t xml:space="preserve">  —  Global rate shows overall integration health. Per-tenant catches expired credentials for a specific client. Per-source catches platform-wide issues with a specific API like Instagram or WhatsApp.</w:t>
      </w:r>
    </w:p>
    <w:p>
      <w:pPr>
        <w:spacing w:after="100" w:before="60" w:line="300"/>
      </w:pPr>
      <w:r>
        <w:rPr>
          <w:rFonts w:ascii="Arial" w:cs="Arial" w:eastAsia="Arial" w:hAnsi="Arial"/>
          <w:sz w:val="21"/>
          <w:szCs w:val="21"/>
        </w:rPr>
        <w:t xml:space="preserve">This is the percentage of API calls to lead source platforms (WhatsApp Business API, Instagram Graph API, Facebook, CRM systems) that fail on the first attempt and require at least one retry.</w:t>
      </w:r>
    </w:p>
    <w:p>
      <w:pPr>
        <w:spacing w:after="100" w:before="60" w:line="300"/>
      </w:pPr>
      <w:r>
        <w:rPr>
          <w:rFonts w:ascii="Arial" w:cs="Arial" w:eastAsia="Arial" w:hAnsi="Arial"/>
          <w:sz w:val="21"/>
          <w:szCs w:val="21"/>
        </w:rPr>
        <w:t xml:space="preserve">An 8% retry rate at 60 leads per day with ~4 source calls per lead means roughly 19 retried calls out of 240 total. That’s manageable. But the pattern matters more than the number. If all 19 retries are against one source, that source has a problem. If all 19 are for one tenant, that tenant’s credentials are likely degraded.</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KPI requires a circuit breaker pattern. When a specific source’s retry rate exceeds 15%, the system automatically stops calling that source and proceeds with available data from other sources. Without the circuit breaker, a broken API would cause every lead to waste time retrying before giving up, degrading response time for all leads even though only one source is broken.</w:t>
      </w:r>
    </w:p>
    <w:p>
      <w:pPr>
        <w:spacing w:after="100" w:before="60" w:line="300"/>
      </w:pPr>
      <w:r>
        <w:rPr>
          <w:rFonts w:ascii="Arial" w:cs="Arial" w:eastAsia="Arial" w:hAnsi="Arial"/>
          <w:b/>
          <w:bCs/>
          <w:sz w:val="21"/>
          <w:szCs w:val="21"/>
        </w:rPr>
        <w:t xml:space="preserve">Escalation:  </w:t>
      </w:r>
      <w:r>
        <w:rPr>
          <w:rFonts w:ascii="Arial" w:cs="Arial" w:eastAsia="Arial" w:hAnsi="Arial"/>
          <w:sz w:val="21"/>
          <w:szCs w:val="21"/>
        </w:rPr>
        <w:t xml:space="preserve">Above 8%: investigate API health, credential validity, and rate limit status. Above 15%: circuit breaker activates, source is temporarily disabled. Ops team is alerted to investigate and re-enable once the source is healthy.</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Per-source targets become more nuanced. You may set different thresholds per source based on their known reliability profiles (e.g. WhatsApp at &lt;5%, Instagram at &lt;12%).</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3.2  LLM API Retry Rate</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&lt;3%</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6A1B9A"/>
          <w:sz w:val="21"/>
          <w:szCs w:val="21"/>
        </w:rPr>
        <w:t xml:space="preserve">Both: System Global + Per-Tenant</w:t>
      </w:r>
      <w:r>
        <w:rPr>
          <w:rFonts w:ascii="Arial" w:cs="Arial" w:eastAsia="Arial" w:hAnsi="Arial"/>
          <w:i/>
          <w:iCs/>
          <w:color w:val="666666"/>
          <w:sz w:val="20"/>
          <w:szCs w:val="20"/>
        </w:rPr>
        <w:t xml:space="preserve">  —  Global rate catches provider-wide issues. Per-tenant catches cases where a specific tenant’s scoring rubric creates prompts that are too large or malformed.</w:t>
      </w:r>
    </w:p>
    <w:p>
      <w:pPr>
        <w:spacing w:after="100" w:before="60" w:line="300"/>
      </w:pPr>
      <w:r>
        <w:rPr>
          <w:rFonts w:ascii="Arial" w:cs="Arial" w:eastAsia="Arial" w:hAnsi="Arial"/>
          <w:sz w:val="21"/>
          <w:szCs w:val="21"/>
        </w:rPr>
        <w:t xml:space="preserve">This is the percentage of LLM scoring calls that fail on first attempt and require a retry. This is tighter than the original 5% target because at 60 leads per day, you will not hit LLM rate limits. If the retry rate exceeds 3%, the problem is almost certainly a configuration issue (malformed prompt, exceeded token limit, wrong API key) rather than load.</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KPI justifies configuring a fallback LLM provider. If the primary provider is unavailable, the system switches to the fallback rather than retrying indefinitely against a down service. It also requires prompt size validation before making the API call — if the assembled prompt exceeds the model’s token limit, reject it immediately rather than sending it and getting a failure.</w:t>
      </w:r>
    </w:p>
    <w:p>
      <w:pPr>
        <w:spacing w:after="100" w:before="60" w:line="300"/>
      </w:pPr>
      <w:r>
        <w:rPr>
          <w:rFonts w:ascii="Arial" w:cs="Arial" w:eastAsia="Arial" w:hAnsi="Arial"/>
          <w:b/>
          <w:bCs/>
          <w:sz w:val="21"/>
          <w:szCs w:val="21"/>
        </w:rPr>
        <w:t xml:space="preserve">Escalation:  </w:t>
      </w:r>
      <w:r>
        <w:rPr>
          <w:rFonts w:ascii="Arial" w:cs="Arial" w:eastAsia="Arial" w:hAnsi="Arial"/>
          <w:sz w:val="21"/>
          <w:szCs w:val="21"/>
        </w:rPr>
        <w:t xml:space="preserve">Above 3%: check API key quota, prompt size, and model availability. Above 5%: switch to fallback model automatically. Alert the engineering team to investigate the primary provider.</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Relax to &lt;5% at higher scale since rate-limit-driven retries become more common. Implement multiple API keys and request queuing.</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3.3  Pipeline Hard Failure Rate</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&lt;0.5%</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6A1B9A"/>
          <w:sz w:val="21"/>
          <w:szCs w:val="21"/>
        </w:rPr>
        <w:t xml:space="preserve">Both: System Global + Per-Tenant</w:t>
      </w:r>
      <w:r>
        <w:rPr>
          <w:rFonts w:ascii="Arial" w:cs="Arial" w:eastAsia="Arial" w:hAnsi="Arial"/>
          <w:i/>
          <w:iCs/>
          <w:color w:val="666666"/>
          <w:sz w:val="20"/>
          <w:szCs w:val="20"/>
        </w:rPr>
        <w:t xml:space="preserve">  —  Global rate measures system reliability. Per-tenant rate catches whether failures are concentrated on one client — a 0.4% global rate could mean all failures belong to one tenant.</w:t>
      </w:r>
    </w:p>
    <w:p>
      <w:pPr>
        <w:spacing w:after="100" w:before="60" w:line="300"/>
      </w:pPr>
      <w:r>
        <w:rPr>
          <w:rFonts w:ascii="Arial" w:cs="Arial" w:eastAsia="Arial" w:hAnsi="Arial"/>
          <w:sz w:val="21"/>
          <w:szCs w:val="21"/>
        </w:rPr>
        <w:t xml:space="preserve">A hard failure means a lead entered the pipeline and failed to produce any output after all retries were exhausted. The lead is stuck with no score, no classification, and no document entry. It exists in the dead letter queue waiting for manual intervention.</w:t>
      </w:r>
    </w:p>
    <w:p>
      <w:pPr>
        <w:spacing w:after="100" w:before="60" w:line="300"/>
      </w:pPr>
      <w:r>
        <w:rPr>
          <w:rFonts w:ascii="Arial" w:cs="Arial" w:eastAsia="Arial" w:hAnsi="Arial"/>
          <w:sz w:val="21"/>
          <w:szCs w:val="21"/>
        </w:rPr>
        <w:t xml:space="preserve">At 60 leads per day, a 0.5% hard failure rate means roughly one lost lead every three days. This is tighter than the original 1% target because at this volume, every single failure is noticeable to the client.</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Every hard failure is treated as a P0 incident. The lead must be recovered, manually scored, or flagged to the operator. This means the dead letter queue is not optional — it is a core component of the pipeline. Failed leads cannot disappear into a log file. They must be persisted in a recoverable state with all context needed to retry or manually process them.</w:t>
      </w:r>
    </w:p>
    <w:p>
      <w:pPr>
        <w:spacing w:after="100" w:before="60" w:line="300"/>
      </w:pPr>
      <w:r>
        <w:rPr>
          <w:rFonts w:ascii="Arial" w:cs="Arial" w:eastAsia="Arial" w:hAnsi="Arial"/>
          <w:b/>
          <w:bCs/>
          <w:sz w:val="21"/>
          <w:szCs w:val="21"/>
        </w:rPr>
        <w:t xml:space="preserve">Escalation:  </w:t>
      </w:r>
      <w:r>
        <w:rPr>
          <w:rFonts w:ascii="Arial" w:cs="Arial" w:eastAsia="Arial" w:hAnsi="Arial"/>
          <w:sz w:val="21"/>
          <w:szCs w:val="21"/>
        </w:rPr>
        <w:t xml:space="preserve">Every hard failure triggers an immediate alert to the ops team. If the hard failure rate exceeds 0.5% in any 24-hour window, it is escalated as a system reliability issue requiring engineering investigation.</w:t>
      </w:r>
    </w:p>
    <w:p>
      <w:pPr>
        <w:pBdr>
          <w:left w:val="single" w:color="66BB6A" w:sz="6" w:space="8"/>
        </w:pBdr>
        <w:spacing w:after="140" w:before="100" w:line="276"/>
        <w:ind w:left="300"/>
      </w:pPr>
      <w:r>
        <w:rPr>
          <w:rFonts w:ascii="Arial" w:cs="Arial" w:eastAsia="Arial" w:hAnsi="Arial"/>
          <w:b/>
          <w:bCs/>
          <w:i/>
          <w:iCs/>
          <w:color w:val="2E7D32"/>
          <w:sz w:val="19"/>
          <w:szCs w:val="19"/>
        </w:rPr>
        <w:t xml:space="preserve">When scaling up:  </w:t>
      </w:r>
      <w:r>
        <w:rPr>
          <w:rFonts w:ascii="Arial" w:cs="Arial" w:eastAsia="Arial" w:hAnsi="Arial"/>
          <w:i/>
          <w:iCs/>
          <w:color w:val="555555"/>
          <w:sz w:val="19"/>
          <w:szCs w:val="19"/>
        </w:rPr>
        <w:t xml:space="preserve">Can relax to &lt;1% at higher scale since the absolute number of failures is managed by automated recovery pipelines rather than manual intervention.</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3.4  Pipeline Degraded Rate (Soft Failure)</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&lt;10%</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6A1B9A"/>
          <w:sz w:val="21"/>
          <w:szCs w:val="21"/>
        </w:rPr>
        <w:t xml:space="preserve">Both: System Global + Per-Tenant</w:t>
      </w:r>
      <w:r>
        <w:rPr>
          <w:rFonts w:ascii="Arial" w:cs="Arial" w:eastAsia="Arial" w:hAnsi="Arial"/>
          <w:i/>
          <w:iCs/>
          <w:color w:val="666666"/>
          <w:sz w:val="20"/>
          <w:szCs w:val="20"/>
        </w:rPr>
        <w:t xml:space="preserve">  —  Global rate shows overall enrichment reliability. Per-tenant rate catches whether a specific tenant’s source mix is particularly unreliable.</w:t>
      </w:r>
    </w:p>
    <w:p>
      <w:pPr>
        <w:spacing w:after="100" w:before="60" w:line="300"/>
      </w:pPr>
      <w:r>
        <w:rPr>
          <w:rFonts w:ascii="Arial" w:cs="Arial" w:eastAsia="Arial" w:hAnsi="Arial"/>
          <w:sz w:val="21"/>
          <w:szCs w:val="21"/>
        </w:rPr>
        <w:t xml:space="preserve">A soft failure means the lead completed the pipeline and received a score, but with missing enrichment data from one or more sources. The lead was scored, but the scoring agent had less information to work with, resulting in a lower confidence score.</w:t>
      </w:r>
    </w:p>
    <w:p>
      <w:pPr>
        <w:spacing w:after="100" w:before="60" w:line="300"/>
      </w:pPr>
      <w:r>
        <w:rPr>
          <w:rFonts w:ascii="Arial" w:cs="Arial" w:eastAsia="Arial" w:hAnsi="Arial"/>
          <w:sz w:val="21"/>
          <w:szCs w:val="21"/>
        </w:rPr>
        <w:t xml:space="preserve">This is acceptable as long as the confidence score accurately reflects the data gap and the client dashboard clearly communicates it. The sales rep seeing a lead scored at 62 with a “limited data” flag knows to treat it differently than a lead scored at 62 with full enrichment.</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The scoring agent’s prompt must explicitly account for missing data. When enrichment is incomplete, the prompt should instruct the LLM to score conservatively and explain which data was unavailable. The dashboard must surface the confidence level so sales reps can interpret the score correctly.</w:t>
      </w:r>
    </w:p>
    <w:p>
      <w:pPr>
        <w:spacing w:after="100" w:before="60" w:line="300"/>
      </w:pPr>
      <w:r>
        <w:rPr>
          <w:rFonts w:ascii="Arial" w:cs="Arial" w:eastAsia="Arial" w:hAnsi="Arial"/>
          <w:b/>
          <w:bCs/>
          <w:sz w:val="21"/>
          <w:szCs w:val="21"/>
        </w:rPr>
        <w:t xml:space="preserve">Escalation:  </w:t>
      </w:r>
      <w:r>
        <w:rPr>
          <w:rFonts w:ascii="Arial" w:cs="Arial" w:eastAsia="Arial" w:hAnsi="Arial"/>
          <w:sz w:val="21"/>
          <w:szCs w:val="21"/>
        </w:rPr>
        <w:t xml:space="preserve">Above 10%: investigate which enrichment sources are failing systemically. This is a reliability issue with external dependencies, not the pipeline itself. If one specific source is causing most degraded leads, consider whether that source is worth keeping in the pipeline or should be replaced.</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3.5  Notification Delivery Failure</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&lt;0.5%</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E65100"/>
          <w:sz w:val="21"/>
          <w:szCs w:val="21"/>
        </w:rPr>
        <w:t xml:space="preserve">Per-Tenant</w:t>
      </w:r>
      <w:r>
        <w:rPr>
          <w:rFonts w:ascii="Arial" w:cs="Arial" w:eastAsia="Arial" w:hAnsi="Arial"/>
          <w:i/>
          <w:iCs/>
          <w:color w:val="666666"/>
          <w:sz w:val="20"/>
          <w:szCs w:val="20"/>
        </w:rPr>
        <w:t xml:space="preserve">  —  Notification channels are entirely tenant-specific. Tenant A uses Slack, Tenant B uses email, Tenant C uses a custom webhook. A failure here is always tenant-scoped.</w:t>
      </w:r>
    </w:p>
    <w:p>
      <w:pPr>
        <w:spacing w:after="100" w:before="60" w:line="300"/>
      </w:pPr>
      <w:r>
        <w:rPr>
          <w:rFonts w:ascii="Arial" w:cs="Arial" w:eastAsia="Arial" w:hAnsi="Arial"/>
          <w:sz w:val="21"/>
          <w:szCs w:val="21"/>
        </w:rPr>
        <w:t xml:space="preserve">This is the percentage of Hot lead notifications that fail to reach the client through any channel. This is the highest-severity operational metric in the system because it directly undermines the product’s value proposition.</w:t>
      </w:r>
    </w:p>
    <w:p>
      <w:pPr>
        <w:spacing w:after="100" w:before="60" w:line="300"/>
      </w:pPr>
      <w:r>
        <w:rPr>
          <w:rFonts w:ascii="Arial" w:cs="Arial" w:eastAsia="Arial" w:hAnsi="Arial"/>
          <w:sz w:val="21"/>
          <w:szCs w:val="21"/>
        </w:rPr>
        <w:t xml:space="preserve">At 60 leads per day, if roughly 15–20% are classified as Hot, that’s about 10–12 hot notifications per day. A 0.5% failure rate means you can tolerate at most one failed notification per month. That is deliberately strict.</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KPI requires redundant notification channels. Every tenant must have a primary channel and at least one fallback. If the Slack webhook fails, the system immediately tries email. If email fails, it tries SMS or in-app notification. The notification is only counted as “failed” if all channels fail. This redundancy is non-negotiable.</w:t>
      </w:r>
    </w:p>
    <w:p>
      <w:pPr>
        <w:spacing w:after="100" w:before="60" w:line="300"/>
      </w:pPr>
      <w:r>
        <w:rPr>
          <w:rFonts w:ascii="Arial" w:cs="Arial" w:eastAsia="Arial" w:hAnsi="Arial"/>
          <w:b/>
          <w:bCs/>
          <w:sz w:val="21"/>
          <w:szCs w:val="21"/>
        </w:rPr>
        <w:t xml:space="preserve">Escalation:  </w:t>
      </w:r>
      <w:r>
        <w:rPr>
          <w:rFonts w:ascii="Arial" w:cs="Arial" w:eastAsia="Arial" w:hAnsi="Arial"/>
          <w:sz w:val="21"/>
          <w:szCs w:val="21"/>
        </w:rPr>
        <w:t xml:space="preserve">Any notification delivery failure is flagged immediately. The ops team investigates the channel health for that tenant. Repeated failures for the same tenant trigger a proactive outreach to verify their notification configuration.</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3.6  Webhook Ingestion Failure</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&lt;0.1%</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2E7D32"/>
          <w:sz w:val="21"/>
          <w:szCs w:val="21"/>
        </w:rPr>
        <w:t xml:space="preserve">Per-Source</w:t>
      </w:r>
      <w:r>
        <w:rPr>
          <w:rFonts w:ascii="Arial" w:cs="Arial" w:eastAsia="Arial" w:hAnsi="Arial"/>
          <w:i/>
          <w:iCs/>
          <w:color w:val="666666"/>
          <w:sz w:val="20"/>
          <w:szCs w:val="20"/>
        </w:rPr>
        <w:t xml:space="preserve">  —  Webhook infrastructure is shared, but different sources have different webhook formats. A parsing failure in the WhatsApp webhook handler doesn’t affect the Facebook handler. Track per-source to isolate which handler has issues.</w:t>
      </w:r>
    </w:p>
    <w:p>
      <w:pPr>
        <w:spacing w:after="100" w:before="60" w:line="300"/>
      </w:pPr>
      <w:r>
        <w:rPr>
          <w:rFonts w:ascii="Arial" w:cs="Arial" w:eastAsia="Arial" w:hAnsi="Arial"/>
          <w:sz w:val="21"/>
          <w:szCs w:val="21"/>
        </w:rPr>
        <w:t xml:space="preserve">This is the percentage of incoming webhook payloads that are dropped or fail to queue. This is a new metric not present in the original document, and it carries the strictest target in the entire system.</w:t>
      </w:r>
    </w:p>
    <w:p>
      <w:pPr>
        <w:spacing w:after="100" w:before="60" w:line="300"/>
      </w:pPr>
      <w:r>
        <w:rPr>
          <w:rFonts w:ascii="Arial" w:cs="Arial" w:eastAsia="Arial" w:hAnsi="Arial"/>
          <w:sz w:val="21"/>
          <w:szCs w:val="21"/>
        </w:rPr>
        <w:t xml:space="preserve">A dropped webhook is the worst kind of failure because it is invisible. The source platform sent you a lead, your server failed to process it, and nobody — not you, not the client, not the prospect — knows it happened. There is no record in your system to recover from. At 0.1%, this means roughly one lost webhook per 1,000 incoming payloads.</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The webhook handler must be the most robust and simplest component in your system. Minimal logic, maximal reliability. The handler should have its own health monitoring independent of the rest of the pipeline. Even if the entire scoring pipeline goes down, the webhook handler should continue accepting and queuing leads.</w:t>
      </w:r>
    </w:p>
    <w:p>
      <w:pPr>
        <w:spacing w:after="100" w:before="60" w:line="300"/>
      </w:pPr>
      <w:r>
        <w:rPr>
          <w:rFonts w:ascii="Arial" w:cs="Arial" w:eastAsia="Arial" w:hAnsi="Arial"/>
          <w:b/>
          <w:bCs/>
          <w:sz w:val="21"/>
          <w:szCs w:val="21"/>
        </w:rPr>
        <w:t xml:space="preserve">Escalation:  </w:t>
      </w:r>
      <w:r>
        <w:rPr>
          <w:rFonts w:ascii="Arial" w:cs="Arial" w:eastAsia="Arial" w:hAnsi="Arial"/>
          <w:sz w:val="21"/>
          <w:szCs w:val="21"/>
        </w:rPr>
        <w:t xml:space="preserve">Any ingestion failure is a P0 investigation. Check server logs, payload validation errors, and queue health. Implement dead-letter handling at the webhook level itself — if the queue write fails, the payload should be persisted to disk as a last resort.</w:t>
      </w:r>
    </w:p>
    <w:p>
      <w:r>
        <w:br w:type="page"/>
      </w:r>
    </w:p>
    <w:p>
      <w:pPr>
        <w:pStyle w:val="Heading1"/>
        <w:spacing w:after="200" w:before="400"/>
      </w:pPr>
      <w:r>
        <w:rPr>
          <w:rFonts w:ascii="Arial" w:cs="Arial" w:eastAsia="Arial" w:hAnsi="Arial"/>
          <w:b/>
          <w:bCs/>
          <w:color w:val="1B3A5C"/>
          <w:sz w:val="32"/>
          <w:szCs w:val="32"/>
        </w:rPr>
        <w:t xml:space="preserve">4.  Additional Operational Metrics</w:t>
      </w:r>
    </w:p>
    <w:p>
      <w:pPr>
        <w:spacing w:after="100" w:before="60" w:line="300"/>
      </w:pPr>
      <w:r>
        <w:rPr>
          <w:rFonts w:ascii="Arial" w:cs="Arial" w:eastAsia="Arial" w:hAnsi="Arial"/>
          <w:sz w:val="21"/>
          <w:szCs w:val="21"/>
        </w:rPr>
        <w:t xml:space="preserve">These metrics were not in the original KPI document but are essential for operational visibility, especially in the early stage when the system is being validated with real clients and real data.</w:t>
      </w:r>
    </w:p>
    <w:p>
      <w:pPr>
        <w:pStyle w:val="Heading2"/>
        <w:spacing w:after="140" w:before="360"/>
      </w:pPr>
      <w:r>
        <w:rPr>
          <w:rFonts w:ascii="Arial" w:cs="Arial" w:eastAsia="Arial" w:hAnsi="Arial"/>
          <w:b/>
          <w:bCs/>
          <w:color w:val="1B3A5C"/>
          <w:sz w:val="26"/>
          <w:szCs w:val="26"/>
        </w:rPr>
        <w:t xml:space="preserve">4.1  Retry Depth</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≤2 retries per operation</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B71C1C"/>
          <w:sz w:val="21"/>
          <w:szCs w:val="21"/>
        </w:rPr>
        <w:t xml:space="preserve">All Three: Global + Per-Tenant + Per-Source</w:t>
      </w:r>
      <w:r>
        <w:rPr>
          <w:rFonts w:ascii="Arial" w:cs="Arial" w:eastAsia="Arial" w:hAnsi="Arial"/>
          <w:i/>
          <w:iCs/>
          <w:color w:val="666666"/>
          <w:sz w:val="20"/>
          <w:szCs w:val="20"/>
        </w:rPr>
        <w:t xml:space="preserve">  —  Per-source identifies which APIs are flakiest. Per-tenant catches credential or configuration issues for specific clients. Global tracks overall system retry behaviour.</w:t>
      </w:r>
    </w:p>
    <w:p>
      <w:pPr>
        <w:spacing w:after="100" w:before="60" w:line="300"/>
      </w:pPr>
      <w:r>
        <w:rPr>
          <w:rFonts w:ascii="Arial" w:cs="Arial" w:eastAsia="Arial" w:hAnsi="Arial"/>
          <w:sz w:val="21"/>
          <w:szCs w:val="21"/>
        </w:rPr>
        <w:t xml:space="preserve">Retry rate tells you what percentage of calls needed retries. Retry depth tells you how many attempts each failed call took before succeeding. A call that succeeds on attempt 2 after 1 second is barely noticeable. A call that takes 5 attempts over 30 seconds directly erodes your response time budget.</w:t>
      </w:r>
    </w:p>
    <w:p>
      <w:pPr>
        <w:spacing w:after="100" w:before="60" w:line="300"/>
      </w:pPr>
      <w:r>
        <w:rPr>
          <w:rFonts w:ascii="Arial" w:cs="Arial" w:eastAsia="Arial" w:hAnsi="Arial"/>
          <w:sz w:val="21"/>
          <w:szCs w:val="21"/>
        </w:rPr>
        <w:t xml:space="preserve">By capping retry depth at 2, you are saying: try once, wait 1 second, try again, wait 2 seconds, try once more. If it still fails, stop retrying and move on. This limits the maximum retry time to roughly 3 seconds per operation, which is small enough to fit within any stage’s budget.</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directly defines your retry policy code. No exponential backoff beyond 2 retries. No “keep trying for 60 seconds” logic. It forces the system to be resilient to partial failures rather than stubbornly chasing complete success. Combined with the circuit breaker from the retry rate KPI, this creates a system that degrades gracefully rather than grinding to a halt.</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If any operation consistently needs 3+ retries, the external service is unreliable enough that retrying isn’t helping. Flag the source for circuit breaker evaluation.</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4.2  Dead Letter Queue Age</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&lt;4 hours during business hours</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E65100"/>
          <w:sz w:val="21"/>
          <w:szCs w:val="21"/>
        </w:rPr>
        <w:t xml:space="preserve">Per-Tenant</w:t>
      </w:r>
      <w:r>
        <w:rPr>
          <w:rFonts w:ascii="Arial" w:cs="Arial" w:eastAsia="Arial" w:hAnsi="Arial"/>
          <w:i/>
          <w:iCs/>
          <w:color w:val="666666"/>
          <w:sz w:val="20"/>
          <w:szCs w:val="20"/>
        </w:rPr>
        <w:t xml:space="preserve">  —  The urgency of a DLQ lead depends on which tenant it belongs to and whether the lead might be hot. Tenant-specific tracking ensures the ops team prioritises correctly.</w:t>
      </w:r>
    </w:p>
    <w:p>
      <w:pPr>
        <w:spacing w:after="100" w:before="60" w:line="300"/>
      </w:pPr>
      <w:r>
        <w:rPr>
          <w:rFonts w:ascii="Arial" w:cs="Arial" w:eastAsia="Arial" w:hAnsi="Arial"/>
          <w:sz w:val="21"/>
          <w:szCs w:val="21"/>
        </w:rPr>
        <w:t xml:space="preserve">This is the maximum time a failed lead is allowed to sit in the dead letter queue before someone reviews it. At 60 leads per day, you cannot afford leads sitting unprocessed overnight. A lead that failed at 10 AM and isn’t reviewed until the next morning has lost 24 hours of potential follow-up time.</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This KPI transforms the dead letter queue from a passive log into an active operational workflow. It requires alerting (Slack, email, dashboard notification) when a lead enters the DLQ, a timer showing how long each lead has been waiting, and escalation if the 4-hour window is approaching. It also means someone on the team is explicitly responsible for DLQ review as part of their daily workflow.</w:t>
      </w:r>
    </w:p>
    <w:p>
      <w:pPr>
        <w:spacing w:after="100" w:before="60" w:line="300"/>
      </w:pPr>
      <w:r>
        <w:rPr>
          <w:rFonts w:ascii="Arial" w:cs="Arial" w:eastAsia="Arial" w:hAnsi="Arial"/>
          <w:b/>
          <w:bCs/>
          <w:sz w:val="21"/>
          <w:szCs w:val="21"/>
        </w:rPr>
        <w:t xml:space="preserve">When breached:  </w:t>
      </w:r>
      <w:r>
        <w:rPr>
          <w:rFonts w:ascii="Arial" w:cs="Arial" w:eastAsia="Arial" w:hAnsi="Arial"/>
          <w:sz w:val="21"/>
          <w:szCs w:val="21"/>
        </w:rPr>
        <w:t xml:space="preserve">If a lead exceeds 4 hours in the DLQ, escalate to the team lead. The lead should either be manually scored, retried with different parameters, or the client should be informed that a specific lead could not be processed automatically.</w:t>
      </w:r>
    </w:p>
    <w:p>
      <w:pPr>
        <w:pBdr>
          <w:bottom w:val="single" w:color="DEE2E6" w:sz="2" w:space="6"/>
        </w:pBdr>
        <w:spacing w:after="200" w:before="200"/>
      </w:pPr>
    </w:p>
    <w:p>
      <w:pPr>
        <w:pStyle w:val="Heading2"/>
        <w:spacing w:after="140" w:before="360"/>
      </w:pPr>
      <w:r>
        <w:rPr>
          <w:rFonts w:ascii="Arial" w:cs="Arial" w:eastAsia="Arial" w:hAnsi="Arial"/>
          <w:b/>
          <w:bCs/>
          <w:color w:val="1B3A5C"/>
          <w:sz w:val="26"/>
          <w:szCs w:val="26"/>
        </w:rPr>
        <w:t xml:space="preserve">4.3  Scoring Confidence Accuracy</w:t>
      </w:r>
    </w:p>
    <w:p>
      <w:pPr>
        <w:spacing w:after="40" w:before="40"/>
        <w:ind w:left="300"/>
      </w:pPr>
      <w:r>
        <w:rPr>
          <w:rFonts w:ascii="Arial" w:cs="Arial" w:eastAsia="Arial" w:hAnsi="Arial"/>
          <w:b/>
          <w:bCs/>
          <w:color w:val="444444"/>
          <w:sz w:val="21"/>
          <w:szCs w:val="21"/>
        </w:rPr>
        <w:t xml:space="preserve">Target:  </w:t>
      </w:r>
      <w:r>
        <w:rPr>
          <w:rFonts w:ascii="Arial" w:cs="Arial" w:eastAsia="Arial" w:hAnsi="Arial"/>
          <w:color w:val="1565C0"/>
          <w:sz w:val="21"/>
          <w:szCs w:val="21"/>
        </w:rPr>
        <w:t xml:space="preserve">Track from day one, no numeric target yet</w:t>
      </w:r>
    </w:p>
    <w:p>
      <w:pPr>
        <w:spacing w:after="40" w:before="40"/>
        <w:ind w:left="300"/>
      </w:pPr>
      <w:r>
        <w:rPr>
          <w:rFonts w:ascii="Arial" w:cs="Arial" w:eastAsia="Arial" w:hAnsi="Arial"/>
          <w:b/>
          <w:bCs/>
          <w:color w:val="444444"/>
          <w:sz w:val="21"/>
          <w:szCs w:val="21"/>
        </w:rPr>
        <w:t xml:space="preserve">Scope:  </w:t>
      </w:r>
      <w:r>
        <w:rPr>
          <w:rFonts w:ascii="Arial" w:cs="Arial" w:eastAsia="Arial" w:hAnsi="Arial"/>
          <w:b/>
          <w:bCs/>
          <w:color w:val="E65100"/>
          <w:sz w:val="21"/>
          <w:szCs w:val="21"/>
        </w:rPr>
        <w:t xml:space="preserve">Per-Tenant</w:t>
      </w:r>
      <w:r>
        <w:rPr>
          <w:rFonts w:ascii="Arial" w:cs="Arial" w:eastAsia="Arial" w:hAnsi="Arial"/>
          <w:i/>
          <w:iCs/>
          <w:color w:val="666666"/>
          <w:sz w:val="20"/>
          <w:szCs w:val="20"/>
        </w:rPr>
        <w:t xml:space="preserve">  —  Different tenants have different ICPs and scoring rubrics. Confidence accuracy must be validated per-tenant since a confidence score that’s meaningful for one tenant’s business may not be for another.</w:t>
      </w:r>
    </w:p>
    <w:p>
      <w:pPr>
        <w:spacing w:after="100" w:before="60" w:line="300"/>
      </w:pPr>
      <w:r>
        <w:rPr>
          <w:rFonts w:ascii="Arial" w:cs="Arial" w:eastAsia="Arial" w:hAnsi="Arial"/>
          <w:sz w:val="21"/>
          <w:szCs w:val="21"/>
        </w:rPr>
        <w:t xml:space="preserve">When a lead is scored with incomplete enrichment data, the system assigns a lower confidence score to indicate that the score may be less reliable. This metric tracks whether that confidence adjustment is actually predictive — do low-confidence leads genuinely correlate with less accurate scores?</w:t>
      </w:r>
    </w:p>
    <w:p>
      <w:pPr>
        <w:spacing w:after="100" w:before="60" w:line="300"/>
      </w:pPr>
      <w:r>
        <w:rPr>
          <w:rFonts w:ascii="Arial" w:cs="Arial" w:eastAsia="Arial" w:hAnsi="Arial"/>
          <w:sz w:val="21"/>
          <w:szCs w:val="21"/>
        </w:rPr>
        <w:t xml:space="preserve">This cannot have a target yet because it requires real-world feedback data. After a few weeks of operation, you compare: of the leads scored with low confidence, how many were the sales team found to be accurately classified? If low-confidence leads are just as accurate as high-confidence ones, the confidence score isn’t adding value. If they are less accurate, the confidence mechanism is working as intended.</w:t>
      </w:r>
    </w:p>
    <w:p>
      <w:pPr>
        <w:spacing w:after="100" w:before="60" w:line="300"/>
      </w:pPr>
      <w:r>
        <w:rPr>
          <w:rFonts w:ascii="Arial" w:cs="Arial" w:eastAsia="Arial" w:hAnsi="Arial"/>
          <w:b/>
          <w:bCs/>
          <w:sz w:val="21"/>
          <w:szCs w:val="21"/>
        </w:rPr>
        <w:t xml:space="preserve">How it drives design:  </w:t>
      </w:r>
      <w:r>
        <w:rPr>
          <w:rFonts w:ascii="Arial" w:cs="Arial" w:eastAsia="Arial" w:hAnsi="Arial"/>
          <w:sz w:val="21"/>
          <w:szCs w:val="21"/>
        </w:rPr>
        <w:t xml:space="preserve">Build a feedback mechanism from day one. Even if it’s manual — the sales team marks whether a lead’s classification matched their experience. This data feeds back into improving the scoring prompts and confidence calibration over time.</w:t>
      </w:r>
    </w:p>
    <w:p>
      <w:pPr>
        <w:spacing w:before="500"/>
      </w:pPr>
      <w:r>
        <w:br w:type="page"/>
      </w:r>
    </w:p>
    <w:p>
      <w:pPr>
        <w:pStyle w:val="Heading1"/>
        <w:spacing w:after="200" w:before="400"/>
      </w:pPr>
      <w:r>
        <w:rPr>
          <w:rFonts w:ascii="Arial" w:cs="Arial" w:eastAsia="Arial" w:hAnsi="Arial"/>
          <w:b/>
          <w:bCs/>
          <w:color w:val="1B3A5C"/>
          <w:sz w:val="32"/>
          <w:szCs w:val="32"/>
        </w:rPr>
        <w:t xml:space="preserve">5.  Scope Reference Summary</w:t>
      </w:r>
    </w:p>
    <w:p>
      <w:pPr>
        <w:spacing w:after="100" w:before="60" w:line="300"/>
      </w:pPr>
      <w:r>
        <w:rPr>
          <w:rFonts w:ascii="Arial" w:cs="Arial" w:eastAsia="Arial" w:hAnsi="Arial"/>
          <w:sz w:val="21"/>
          <w:szCs w:val="21"/>
        </w:rPr>
        <w:t xml:space="preserve">For quick reference, the following summarises how each KPI should be sliced in your monitoring system.</w:t>
      </w:r>
    </w:p>
    <w:p>
      <w:pPr>
        <w:spacing w:after="100" w:before="60" w:line="300"/>
      </w:pPr>
      <w:r>
        <w:rPr>
          <w:rFonts w:ascii="Arial" w:cs="Arial" w:eastAsia="Arial" w:hAnsi="Arial"/>
          <w:b/>
          <w:bCs/>
          <w:sz w:val="21"/>
          <w:szCs w:val="21"/>
        </w:rPr>
        <w:t xml:space="preserve">System Global metrics </w:t>
      </w:r>
      <w:r>
        <w:rPr>
          <w:rFonts w:ascii="Arial" w:cs="Arial" w:eastAsia="Arial" w:hAnsi="Arial"/>
          <w:sz w:val="21"/>
          <w:szCs w:val="21"/>
        </w:rPr>
        <w:t xml:space="preserve">are tracked as a single aggregate across all tenants and sources. They answer: “Is the system healthy?” Examples: normalisation latency, sustained throughput, burst capacity.</w:t>
      </w:r>
    </w:p>
    <w:p>
      <w:pPr>
        <w:spacing w:after="100" w:before="60" w:line="300"/>
      </w:pPr>
      <w:r>
        <w:rPr>
          <w:rFonts w:ascii="Arial" w:cs="Arial" w:eastAsia="Arial" w:hAnsi="Arial"/>
          <w:b/>
          <w:bCs/>
          <w:sz w:val="21"/>
          <w:szCs w:val="21"/>
        </w:rPr>
        <w:t xml:space="preserve">Per-Tenant metrics </w:t>
      </w:r>
      <w:r>
        <w:rPr>
          <w:rFonts w:ascii="Arial" w:cs="Arial" w:eastAsia="Arial" w:hAnsi="Arial"/>
          <w:sz w:val="21"/>
          <w:szCs w:val="21"/>
        </w:rPr>
        <w:t xml:space="preserve">are tracked individually for each client. They answer: “Is this specific client getting good service?” Examples: notification delivery failure, hot lead notification latency, dead letter queue age, per-tenant daily capacity.</w:t>
      </w:r>
    </w:p>
    <w:p>
      <w:pPr>
        <w:spacing w:after="100" w:before="60" w:line="300"/>
      </w:pPr>
      <w:r>
        <w:rPr>
          <w:rFonts w:ascii="Arial" w:cs="Arial" w:eastAsia="Arial" w:hAnsi="Arial"/>
          <w:b/>
          <w:bCs/>
          <w:sz w:val="21"/>
          <w:szCs w:val="21"/>
        </w:rPr>
        <w:t xml:space="preserve">Per-Source metrics </w:t>
      </w:r>
      <w:r>
        <w:rPr>
          <w:rFonts w:ascii="Arial" w:cs="Arial" w:eastAsia="Arial" w:hAnsi="Arial"/>
          <w:sz w:val="21"/>
          <w:szCs w:val="21"/>
        </w:rPr>
        <w:t xml:space="preserve">are tracked for each external API integration. They answer: “Is this specific integration reliable?” Examples: webhook ingestion failure, source fetch latency.</w:t>
      </w:r>
    </w:p>
    <w:p>
      <w:pPr>
        <w:spacing w:after="100" w:before="60" w:line="300"/>
      </w:pPr>
      <w:r>
        <w:rPr>
          <w:rFonts w:ascii="Arial" w:cs="Arial" w:eastAsia="Arial" w:hAnsi="Arial"/>
          <w:b/>
          <w:bCs/>
          <w:sz w:val="21"/>
          <w:szCs w:val="21"/>
        </w:rPr>
        <w:t xml:space="preserve">Multi-scope metrics </w:t>
      </w:r>
      <w:r>
        <w:rPr>
          <w:rFonts w:ascii="Arial" w:cs="Arial" w:eastAsia="Arial" w:hAnsi="Arial"/>
          <w:sz w:val="21"/>
          <w:szCs w:val="21"/>
        </w:rPr>
        <w:t xml:space="preserve">need all applicable dimensions because problems can appear at different levels. A global view hides tenant-specific issues. A tenant view hides source-specific issues. You need all layers. Examples: source API retry rate (global + per-tenant + per-source), end-to-end latency (global + per-tenant), hard failure rate (global + per-tenant).</w:t>
      </w:r>
    </w:p>
    <w:p>
      <w:pPr>
        <w:spacing w:before="400"/>
      </w:pPr>
    </w:p>
    <w:p>
      <w:pPr>
        <w:pBdr>
          <w:top w:val="single" w:color="CCCCCC" w:sz="2" w:space="8"/>
        </w:pBdr>
        <w:spacing w:before="200"/>
      </w:pPr>
      <w:r>
        <w:rPr>
          <w:rFonts w:ascii="Arial" w:cs="Arial" w:eastAsia="Arial" w:hAnsi="Arial"/>
          <w:b/>
          <w:bCs/>
          <w:color w:val="D84315"/>
          <w:sz w:val="19"/>
          <w:szCs w:val="19"/>
        </w:rPr>
        <w:t xml:space="preserve">Note: </w:t>
      </w:r>
      <w:r>
        <w:rPr>
          <w:rFonts w:ascii="Arial" w:cs="Arial" w:eastAsia="Arial" w:hAnsi="Arial"/>
          <w:i/>
          <w:iCs/>
          <w:color w:val="777777"/>
          <w:sz w:val="19"/>
          <w:szCs w:val="19"/>
        </w:rPr>
        <w:t xml:space="preserve">All targets in this document are draft and pending validation against real system benchmarks. This document should be reviewed and updated after the first two weeks of production operation with real tenant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6"/>
        <w:szCs w:val="16"/>
      </w:rPr>
      <w:t xml:space="preserve">Lead Scoring Agent  |  Operational KPI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40" w:before="360"/>
      <w:outlineLvl w:val="1"/>
    </w:pPr>
    <w:rPr>
      <w:rFonts w:ascii="Arial" w:cs="Arial" w:eastAsia="Arial" w:hAnsi="Arial"/>
      <w:b/>
      <w:bCs/>
      <w:color w:val="1B3A5C"/>
      <w:sz w:val="26"/>
      <w:szCs w:val="26"/>
    </w:rPr>
  </w:style>
  <w:style w:type="paragraph" w:styleId="Heading3">
    <w:name w:val="Heading 3"/>
    <w:basedOn w:val="Normal"/>
    <w:next w:val="Normal"/>
    <w:qFormat/>
    <w:pPr>
      <w:spacing w:after="100" w:before="2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2026-04-17T05:29:56.593Z</dcterms:created>
  <dcterms:modified xsi:type="dcterms:W3CDTF">2026-04-17T05:29:56.594Z</dcterms:modified>
</cp:coreProperties>
</file>

<file path=docProps/custom.xml><?xml version="1.0" encoding="utf-8"?>
<Properties xmlns="http://schemas.openxmlformats.org/officeDocument/2006/custom-properties" xmlns:vt="http://schemas.openxmlformats.org/officeDocument/2006/docPropsVTypes"/>
</file>