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business_impact_kpi_pack"/>
      <w:r>
        <w:rPr>
          <w:rFonts w:eastAsia="georgia" w:cs="georgia" w:ascii="georgia" w:hAnsi="georgia"/>
          <w:b/>
          <w:color w:val="000000"/>
          <w:sz w:val="39"/>
        </w:rPr>
        <w:t xml:space="preserve">Business-Impact KPI Pack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This document contains the final 9-KPI business-impact pack for the Multi-Tenant Adaptive Lead Intelligence Engine in the previously agreed field-by-field format.[cite:1]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 KPI pack covers conversion lift, follow-up prioritization execution, and adoption with a compact operating set designed to measure business impact rather than only model behavior.[cite:1]</w:t>
      </w:r>
    </w:p>
    <w:p>
      <w:pPr>
        <w:spacing w:line="360" w:before="315" w:after="105" w:lineRule="auto"/>
        <w:ind w:left="-30"/>
        <w:jc w:val="left"/>
      </w:pPr>
      <w:bookmarkStart w:id="1" w:name="bm_1_overall_conversion_lift"/>
      <w:r>
        <w:rPr>
          <w:rFonts w:eastAsia="georgia" w:cs="georgia" w:ascii="georgia" w:hAnsi="georgia"/>
          <w:b/>
          <w:color w:val="000000"/>
          <w:sz w:val="24"/>
        </w:rPr>
        <w:t xml:space="preserve">1) Overall Conversion Lift</w:t>
      </w:r>
      <w:bookmarkEnd w:id="1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KPI Name:</w:t>
      </w:r>
      <w:r>
        <w:rPr>
          <w:rFonts w:eastAsia="georgia" w:cs="georgia" w:ascii="georgia" w:hAnsi="georgia"/>
          <w:color w:val="000000"/>
        </w:rPr>
        <w:t xml:space="preserve"> Overall Conversion Lift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Business Objective:</w:t>
      </w:r>
      <w:r>
        <w:rPr>
          <w:rFonts w:eastAsia="georgia" w:cs="georgia" w:ascii="georgia" w:hAnsi="georgia"/>
          <w:color w:val="000000"/>
        </w:rPr>
        <w:t xml:space="preserve"> Measure whether the scoring system improves total conversion performance versus the baseline process.[cite:1]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Decision Supported:</w:t>
      </w:r>
      <w:r>
        <w:rPr>
          <w:rFonts w:eastAsia="georgia" w:cs="georgia" w:ascii="georgia" w:hAnsi="georgia"/>
          <w:color w:val="000000"/>
        </w:rPr>
        <w:t xml:space="preserve"> Decide whether the scoring engine is creating real business uplift and should be retained, tuned, or rolled back.[cite:1]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KPI Type:</w:t>
      </w:r>
      <w:r>
        <w:rPr>
          <w:rFonts w:eastAsia="georgia" w:cs="georgia" w:ascii="georgia" w:hAnsi="georgia"/>
          <w:color w:val="000000"/>
        </w:rPr>
        <w:t xml:space="preserve"> Outcome KPI; lagging KPI.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Definition:</w:t>
      </w:r>
      <w:r>
        <w:rPr>
          <w:rFonts w:eastAsia="georgia" w:cs="georgia" w:ascii="georgia" w:hAnsi="georgia"/>
          <w:color w:val="000000"/>
        </w:rPr>
        <w:t xml:space="preserve"> The percentage improvement in conversion rate for scored leads compared with the baseline period or control group.[cite:1]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Formula:</w:t>
      </w:r>
      <w:r>
        <w:rPr>
          <w:rFonts w:eastAsia="georgia" w:cs="georgia" w:ascii="georgia" w:hAnsi="georgia"/>
          <w:color w:val="000000"/>
        </w:rPr>
        <w:t xml:space="preserve"> </w:t>
      </w:r>
      <m:oMath>
        <m:r>
          <m:rPr>
            <m:sty m:val="p"/>
          </m:rPr>
          <w:rPr>
            <w:color w:val="000000"/>
          </w:rPr>
          <m:t>(</m:t>
        </m:r>
        <m:r>
          <m:rPr>
            <m:nor/>
          </m:rPr>
          <w:rPr>
            <w:color w:val="000000"/>
          </w:rPr>
          <m:t>Scored lead conversion rate</m:t>
        </m:r>
        <m:r>
          <m:rPr>
            <m:sty m:val="p"/>
          </m:rPr>
          <w:rPr>
            <w:color w:val="000000"/>
          </w:rPr>
          <m:t>−</m:t>
        </m:r>
        <m:r>
          <m:rPr>
            <m:nor/>
          </m:rPr>
          <w:rPr>
            <w:color w:val="000000"/>
          </w:rPr>
          <m:t>Baseline conversion rate</m:t>
        </m:r>
        <m:r>
          <m:rPr>
            <m:sty m:val="p"/>
          </m:rPr>
          <w:rPr>
            <w:color w:val="000000"/>
          </w:rPr>
          <m:t>)</m:t>
        </m:r>
        <m:r>
          <m:rPr>
            <m:sty m:val="p"/>
          </m:rPr>
          <w:rPr>
            <w:color w:val="000000"/>
          </w:rPr>
          <m:t>/</m:t>
        </m:r>
        <m:r>
          <m:rPr>
            <m:nor/>
          </m:rPr>
          <w:rPr>
            <w:color w:val="000000"/>
          </w:rPr>
          <m:t>Baseline conversion rate</m:t>
        </m:r>
        <m:r>
          <m:rPr>
            <m:sty m:val="p"/>
          </m:rPr>
          <w:rPr>
            <w:color w:val="000000"/>
          </w:rPr>
          <m:t>×</m:t>
        </m:r>
        <m:r>
          <m:rPr>
            <m:sty m:val="p"/>
          </m:rPr>
          <w:rPr>
            <w:color w:val="000000"/>
          </w:rPr>
          <m:t>100</m:t>
        </m:r>
      </m:oMath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Numerator:</w:t>
      </w:r>
      <w:r>
        <w:rPr>
          <w:rFonts w:eastAsia="georgia" w:cs="georgia" w:ascii="georgia" w:hAnsi="georgia"/>
          <w:color w:val="000000"/>
        </w:rPr>
        <w:t xml:space="preserve"> Scored lead conversion rate minus baseline conversion rate.[cite:1]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Denominator:</w:t>
      </w:r>
      <w:r>
        <w:rPr>
          <w:rFonts w:eastAsia="georgia" w:cs="georgia" w:ascii="georgia" w:hAnsi="georgia"/>
          <w:color w:val="000000"/>
        </w:rPr>
        <w:t xml:space="preserve"> Baseline conversion rate.[cite:1]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Unit:</w:t>
      </w:r>
      <w:r>
        <w:rPr>
          <w:rFonts w:eastAsia="georgia" w:cs="georgia" w:ascii="georgia" w:hAnsi="georgia"/>
          <w:color w:val="000000"/>
        </w:rPr>
        <w:t xml:space="preserve"> Percentage (%).[cite:1]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Primary Segment:</w:t>
      </w:r>
      <w:r>
        <w:rPr>
          <w:rFonts w:eastAsia="georgia" w:cs="georgia" w:ascii="georgia" w:hAnsi="georgia"/>
          <w:color w:val="000000"/>
        </w:rPr>
        <w:t xml:space="preserve"> Client / tenant.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Secondary Segment:</w:t>
      </w:r>
      <w:r>
        <w:rPr>
          <w:rFonts w:eastAsia="georgia" w:cs="georgia" w:ascii="georgia" w:hAnsi="georgia"/>
          <w:color w:val="000000"/>
        </w:rPr>
        <w:t xml:space="preserve"> Lead source, time period, campaign, and optionally bucket.[cite:1]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Measurement Window:</w:t>
      </w:r>
      <w:r>
        <w:rPr>
          <w:rFonts w:eastAsia="georgia" w:cs="georgia" w:ascii="georgia" w:hAnsi="georgia"/>
          <w:color w:val="000000"/>
        </w:rPr>
        <w:t xml:space="preserve"> Minimum 3-month window with at least 100 outcomes per group.[cite:1]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Baseline:</w:t>
      </w:r>
      <w:r>
        <w:rPr>
          <w:rFonts w:eastAsia="georgia" w:cs="georgia" w:ascii="georgia" w:hAnsi="georgia"/>
          <w:color w:val="000000"/>
        </w:rPr>
        <w:t xml:space="preserve"> Historical pre-system conversion rate for the same client, or a matched unscored/control cohort.[cite:1]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Target:</w:t>
      </w:r>
      <w:r>
        <w:rPr>
          <w:rFonts w:eastAsia="georgia" w:cs="georgia" w:ascii="georgia" w:hAnsi="georgia"/>
          <w:color w:val="000000"/>
        </w:rPr>
        <w:t xml:space="preserve"> Greater than or equal to 20% lift.[cite:1]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Green Threshold:</w:t>
      </w:r>
      <w:r>
        <w:rPr>
          <w:rFonts w:eastAsia="georgia" w:cs="georgia" w:ascii="georgia" w:hAnsi="georgia"/>
          <w:color w:val="000000"/>
        </w:rPr>
        <w:t xml:space="preserve"> Greater than or equal to +20% lift.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Amber Threshold:</w:t>
      </w:r>
      <w:r>
        <w:rPr>
          <w:rFonts w:eastAsia="georgia" w:cs="georgia" w:ascii="georgia" w:hAnsi="georgia"/>
          <w:color w:val="000000"/>
        </w:rPr>
        <w:t xml:space="preserve"> 0% to +19.9% lift.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Red Threshold:</w:t>
      </w:r>
      <w:r>
        <w:rPr>
          <w:rFonts w:eastAsia="georgia" w:cs="georgia" w:ascii="georgia" w:hAnsi="georgia"/>
          <w:color w:val="000000"/>
        </w:rPr>
        <w:t xml:space="preserve"> Below 0% lift.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Owner:</w:t>
      </w:r>
      <w:r>
        <w:rPr>
          <w:rFonts w:eastAsia="georgia" w:cs="georgia" w:ascii="georgia" w:hAnsi="georgia"/>
          <w:color w:val="000000"/>
        </w:rPr>
        <w:t xml:space="preserve"> Product owner and AI/ML owner.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Data Sources:</w:t>
      </w:r>
      <w:r>
        <w:rPr>
          <w:rFonts w:eastAsia="georgia" w:cs="georgia" w:ascii="georgia" w:hAnsi="georgia"/>
          <w:color w:val="000000"/>
        </w:rPr>
        <w:t xml:space="preserve"> Lead creation events, scoring outputs, CRM outcome events, and baseline historical conversion data.[cite:1]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Refresh Frequency:</w:t>
      </w:r>
      <w:r>
        <w:rPr>
          <w:rFonts w:eastAsia="georgia" w:cs="georgia" w:ascii="georgia" w:hAnsi="georgia"/>
          <w:color w:val="000000"/>
        </w:rPr>
        <w:t xml:space="preserve"> Weekly.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Review Cadence:</w:t>
      </w:r>
      <w:r>
        <w:rPr>
          <w:rFonts w:eastAsia="georgia" w:cs="georgia" w:ascii="georgia" w:hAnsi="georgia"/>
          <w:color w:val="000000"/>
        </w:rPr>
        <w:t xml:space="preserve"> Monthly.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Action Rule:</w:t>
      </w:r>
      <w:r>
        <w:rPr>
          <w:rFonts w:eastAsia="georgia" w:cs="georgia" w:ascii="georgia" w:hAnsi="georgia"/>
          <w:color w:val="000000"/>
        </w:rPr>
        <w:t xml:space="preserve"> If red for two review cycles, audit source mix, score thresholds, and follow-up behavior before changing the model.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Risks / Caveats:</w:t>
      </w:r>
      <w:r>
        <w:rPr>
          <w:rFonts w:eastAsia="georgia" w:cs="georgia" w:ascii="georgia" w:hAnsi="georgia"/>
          <w:color w:val="000000"/>
        </w:rPr>
        <w:t xml:space="preserve"> This KPI can be distorted by seasonality, campaign mix changes, sales team changes, and low sample sizes.[cite:1]</w:t>
      </w:r>
    </w:p>
    <w:p>
      <w:pPr>
        <w:spacing w:line="360" w:before="315" w:after="105" w:lineRule="auto"/>
        <w:ind w:left="-30"/>
        <w:jc w:val="left"/>
      </w:pPr>
      <w:bookmarkStart w:id="2" w:name="bm_2_hot_lead_conversion_vs_baseline"/>
      <w:r>
        <w:rPr>
          <w:rFonts w:eastAsia="georgia" w:cs="georgia" w:ascii="georgia" w:hAnsi="georgia"/>
          <w:b/>
          <w:color w:val="000000"/>
          <w:sz w:val="24"/>
        </w:rPr>
        <w:t xml:space="preserve">2) Hot Lead Conversion vs Baseline</w:t>
      </w:r>
      <w:bookmarkEnd w:id="2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KPI Name:</w:t>
      </w:r>
      <w:r>
        <w:rPr>
          <w:rFonts w:eastAsia="georgia" w:cs="georgia" w:ascii="georgia" w:hAnsi="georgia"/>
          <w:color w:val="000000"/>
        </w:rPr>
        <w:t xml:space="preserve"> Hot Lead Conversion vs Baseline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Business Objective:</w:t>
      </w:r>
      <w:r>
        <w:rPr>
          <w:rFonts w:eastAsia="georgia" w:cs="georgia" w:ascii="georgia" w:hAnsi="georgia"/>
          <w:color w:val="000000"/>
        </w:rPr>
        <w:t xml:space="preserve"> Check whether leads classified as Hot truly outperform the normal baseline lead pool.[cite:1]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Decision Supported:</w:t>
      </w:r>
      <w:r>
        <w:rPr>
          <w:rFonts w:eastAsia="georgia" w:cs="georgia" w:ascii="georgia" w:hAnsi="georgia"/>
          <w:color w:val="000000"/>
        </w:rPr>
        <w:t xml:space="preserve"> Decide whether the Hot bucket is trustworthy enough to justify prioritization and notification urgency.[cite:1]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KPI Type:</w:t>
      </w:r>
      <w:r>
        <w:rPr>
          <w:rFonts w:eastAsia="georgia" w:cs="georgia" w:ascii="georgia" w:hAnsi="georgia"/>
          <w:color w:val="000000"/>
        </w:rPr>
        <w:t xml:space="preserve"> Outcome KPI; diagnostic KPI.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Definition:</w:t>
      </w:r>
      <w:r>
        <w:rPr>
          <w:rFonts w:eastAsia="georgia" w:cs="georgia" w:ascii="georgia" w:hAnsi="georgia"/>
          <w:color w:val="000000"/>
        </w:rPr>
        <w:t xml:space="preserve"> Compares the conversion rate of Hot leads against the client's average baseline conversion rate before the system.[cite:1]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Formula:</w:t>
      </w:r>
      <w:r>
        <w:rPr>
          <w:rFonts w:eastAsia="georgia" w:cs="georgia" w:ascii="georgia" w:hAnsi="georgia"/>
          <w:color w:val="000000"/>
        </w:rPr>
        <w:t xml:space="preserve"> </w:t>
      </w:r>
      <m:oMath>
        <m:r>
          <m:rPr>
            <m:nor/>
          </m:rPr>
          <w:rPr>
            <w:color w:val="000000"/>
          </w:rPr>
          <m:t>Hot lead conversion rate</m:t>
        </m:r>
        <m:r>
          <m:rPr>
            <m:sty m:val="p"/>
          </m:rPr>
          <w:rPr>
            <w:color w:val="000000"/>
          </w:rPr>
          <m:t>/</m:t>
        </m:r>
        <m:r>
          <m:rPr>
            <m:nor/>
          </m:rPr>
          <w:rPr>
            <w:color w:val="000000"/>
          </w:rPr>
          <m:t>Baseline average conversion rate</m:t>
        </m:r>
      </m:oMath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Numerator:</w:t>
      </w:r>
      <w:r>
        <w:rPr>
          <w:rFonts w:eastAsia="georgia" w:cs="georgia" w:ascii="georgia" w:hAnsi="georgia"/>
          <w:color w:val="000000"/>
        </w:rPr>
        <w:t xml:space="preserve"> Hot lead conversion rate.[cite:1]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Denominator:</w:t>
      </w:r>
      <w:r>
        <w:rPr>
          <w:rFonts w:eastAsia="georgia" w:cs="georgia" w:ascii="georgia" w:hAnsi="georgia"/>
          <w:color w:val="000000"/>
        </w:rPr>
        <w:t xml:space="preserve"> Baseline average conversion rate.[cite:1]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Unit:</w:t>
      </w:r>
      <w:r>
        <w:rPr>
          <w:rFonts w:eastAsia="georgia" w:cs="georgia" w:ascii="georgia" w:hAnsi="georgia"/>
          <w:color w:val="000000"/>
        </w:rPr>
        <w:t xml:space="preserve"> Ratio (x) or multiple of baseline.[cite:1]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Primary Segment:</w:t>
      </w:r>
      <w:r>
        <w:rPr>
          <w:rFonts w:eastAsia="georgia" w:cs="georgia" w:ascii="georgia" w:hAnsi="georgia"/>
          <w:color w:val="000000"/>
        </w:rPr>
        <w:t xml:space="preserve"> Client / tenant.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Secondary Segment:</w:t>
      </w:r>
      <w:r>
        <w:rPr>
          <w:rFonts w:eastAsia="georgia" w:cs="georgia" w:ascii="georgia" w:hAnsi="georgia"/>
          <w:color w:val="000000"/>
        </w:rPr>
        <w:t xml:space="preserve"> Lead source, bucket reason, and month.[cite:1]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Measurement Window:</w:t>
      </w:r>
      <w:r>
        <w:rPr>
          <w:rFonts w:eastAsia="georgia" w:cs="georgia" w:ascii="georgia" w:hAnsi="georgia"/>
          <w:color w:val="000000"/>
        </w:rPr>
        <w:t xml:space="preserve"> 30-day outcome tracking with monthly review.[cite:1]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Baseline:</w:t>
      </w:r>
      <w:r>
        <w:rPr>
          <w:rFonts w:eastAsia="georgia" w:cs="georgia" w:ascii="georgia" w:hAnsi="georgia"/>
          <w:color w:val="000000"/>
        </w:rPr>
        <w:t xml:space="preserve"> The client's historical average conversion rate before scoring was introduced.[cite:1]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Target:</w:t>
      </w:r>
      <w:r>
        <w:rPr>
          <w:rFonts w:eastAsia="georgia" w:cs="georgia" w:ascii="georgia" w:hAnsi="georgia"/>
          <w:color w:val="000000"/>
        </w:rPr>
        <w:t xml:space="preserve"> Greater than or equal to 2x baseline conversion rate.[cite:1]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Green Threshold:</w:t>
      </w:r>
      <w:r>
        <w:rPr>
          <w:rFonts w:eastAsia="georgia" w:cs="georgia" w:ascii="georgia" w:hAnsi="georgia"/>
          <w:color w:val="000000"/>
        </w:rPr>
        <w:t xml:space="preserve"> Greater than or equal to 2.0x.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Amber Threshold:</w:t>
      </w:r>
      <w:r>
        <w:rPr>
          <w:rFonts w:eastAsia="georgia" w:cs="georgia" w:ascii="georgia" w:hAnsi="georgia"/>
          <w:color w:val="000000"/>
        </w:rPr>
        <w:t xml:space="preserve"> 1.2x to 1.99x.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Red Threshold:</w:t>
      </w:r>
      <w:r>
        <w:rPr>
          <w:rFonts w:eastAsia="georgia" w:cs="georgia" w:ascii="georgia" w:hAnsi="georgia"/>
          <w:color w:val="000000"/>
        </w:rPr>
        <w:t xml:space="preserve"> Below 1.2x.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Owner:</w:t>
      </w:r>
      <w:r>
        <w:rPr>
          <w:rFonts w:eastAsia="georgia" w:cs="georgia" w:ascii="georgia" w:hAnsi="georgia"/>
          <w:color w:val="000000"/>
        </w:rPr>
        <w:t xml:space="preserve"> Product owner and AI/ML owner.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Data Sources:</w:t>
      </w:r>
      <w:r>
        <w:rPr>
          <w:rFonts w:eastAsia="georgia" w:cs="georgia" w:ascii="georgia" w:hAnsi="georgia"/>
          <w:color w:val="000000"/>
        </w:rPr>
        <w:t xml:space="preserve"> Lead scores, Hot/Warm/Cold assignments, CRM outcome events, and historical client conversion rate.[cite:1]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Refresh Frequency:</w:t>
      </w:r>
      <w:r>
        <w:rPr>
          <w:rFonts w:eastAsia="georgia" w:cs="georgia" w:ascii="georgia" w:hAnsi="georgia"/>
          <w:color w:val="000000"/>
        </w:rPr>
        <w:t xml:space="preserve"> Weekly.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Review Cadence:</w:t>
      </w:r>
      <w:r>
        <w:rPr>
          <w:rFonts w:eastAsia="georgia" w:cs="georgia" w:ascii="georgia" w:hAnsi="georgia"/>
          <w:color w:val="000000"/>
        </w:rPr>
        <w:t xml:space="preserve"> Monthly.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Action Rule:</w:t>
      </w:r>
      <w:r>
        <w:rPr>
          <w:rFonts w:eastAsia="georgia" w:cs="georgia" w:ascii="georgia" w:hAnsi="georgia"/>
          <w:color w:val="000000"/>
        </w:rPr>
        <w:t xml:space="preserve"> If red, review false-Hot cases, bucket thresholds, and whether sales actually treated Hot leads as urgent.[cite:1]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Risks / Caveats:</w:t>
      </w:r>
      <w:r>
        <w:rPr>
          <w:rFonts w:eastAsia="georgia" w:cs="georgia" w:ascii="georgia" w:hAnsi="georgia"/>
          <w:color w:val="000000"/>
        </w:rPr>
        <w:t xml:space="preserve"> A small number of Hot leads can make this ratio unstable, and changes in lead source quality can make the Hot bucket look weaker or stronger than it really is.[cite:1]</w:t>
      </w:r>
    </w:p>
    <w:p>
      <w:pPr>
        <w:spacing w:line="360" w:before="315" w:after="105" w:lineRule="auto"/>
        <w:ind w:left="-30"/>
        <w:jc w:val="left"/>
      </w:pPr>
      <w:bookmarkStart w:id="3" w:name="bm_3_cold_lead_avoidance_value"/>
      <w:r>
        <w:rPr>
          <w:rFonts w:eastAsia="georgia" w:cs="georgia" w:ascii="georgia" w:hAnsi="georgia"/>
          <w:b/>
          <w:color w:val="000000"/>
          <w:sz w:val="24"/>
        </w:rPr>
        <w:t xml:space="preserve">3) Cold Lead Avoidance Value</w:t>
      </w:r>
      <w:bookmarkEnd w:id="3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KPI Name:</w:t>
      </w:r>
      <w:r>
        <w:rPr>
          <w:rFonts w:eastAsia="georgia" w:cs="georgia" w:ascii="georgia" w:hAnsi="georgia"/>
          <w:color w:val="000000"/>
        </w:rPr>
        <w:t xml:space="preserve"> Cold Lead Avoidance Value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Business Objective:</w:t>
      </w:r>
      <w:r>
        <w:rPr>
          <w:rFonts w:eastAsia="georgia" w:cs="georgia" w:ascii="georgia" w:hAnsi="georgia"/>
          <w:color w:val="000000"/>
        </w:rPr>
        <w:t xml:space="preserve"> Quantify the value created by helping teams avoid spending time on low-potential leads.[cite:1]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Decision Supported:</w:t>
      </w:r>
      <w:r>
        <w:rPr>
          <w:rFonts w:eastAsia="georgia" w:cs="georgia" w:ascii="georgia" w:hAnsi="georgia"/>
          <w:color w:val="000000"/>
        </w:rPr>
        <w:t xml:space="preserve"> Decide whether the model is saving meaningful sales effort, not just improving conversion percentages.[cite:1]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KPI Type:</w:t>
      </w:r>
      <w:r>
        <w:rPr>
          <w:rFonts w:eastAsia="georgia" w:cs="georgia" w:ascii="georgia" w:hAnsi="georgia"/>
          <w:color w:val="000000"/>
        </w:rPr>
        <w:t xml:space="preserve"> Efficiency KPI; value KPI.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Definition:</w:t>
      </w:r>
      <w:r>
        <w:rPr>
          <w:rFonts w:eastAsia="georgia" w:cs="georgia" w:ascii="georgia" w:hAnsi="georgia"/>
          <w:color w:val="000000"/>
        </w:rPr>
        <w:t xml:space="preserve"> Measures the estimated labor value saved by deprioritizing Cold leads instead of working them like average leads.[cite:1]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Formula:</w:t>
      </w:r>
      <w:r>
        <w:rPr>
          <w:rFonts w:eastAsia="georgia" w:cs="georgia" w:ascii="georgia" w:hAnsi="georgia"/>
          <w:color w:val="000000"/>
        </w:rPr>
        <w:t xml:space="preserve"> </w:t>
      </w:r>
      <m:oMath>
        <m:r>
          <m:rPr>
            <m:nor/>
          </m:rPr>
          <w:rPr>
            <w:color w:val="000000"/>
          </w:rPr>
          <m:t>Number of Cold leads</m:t>
        </m:r>
        <m:r>
          <m:rPr>
            <m:sty m:val="p"/>
          </m:rPr>
          <w:rPr>
            <w:color w:val="000000"/>
          </w:rPr>
          <m:t>×</m:t>
        </m:r>
        <m:r>
          <m:rPr>
            <m:nor/>
          </m:rPr>
          <w:rPr>
            <w:color w:val="000000"/>
          </w:rPr>
          <m:t>Average sales time saved per lead</m:t>
        </m:r>
        <m:r>
          <m:rPr>
            <m:sty m:val="p"/>
          </m:rPr>
          <w:rPr>
            <w:color w:val="000000"/>
          </w:rPr>
          <m:t>×</m:t>
        </m:r>
        <m:r>
          <m:rPr>
            <m:nor/>
          </m:rPr>
          <w:rPr>
            <w:color w:val="000000"/>
          </w:rPr>
          <m:t>Hourly cost of sales rep</m:t>
        </m:r>
      </m:oMath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Numerator:</w:t>
      </w:r>
      <w:r>
        <w:rPr>
          <w:rFonts w:eastAsia="georgia" w:cs="georgia" w:ascii="georgia" w:hAnsi="georgia"/>
          <w:color w:val="000000"/>
        </w:rPr>
        <w:t xml:space="preserve"> Estimated hours saved multiplied by rep hourly cost.[cite:1]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Denominator:</w:t>
      </w:r>
      <w:r>
        <w:rPr>
          <w:rFonts w:eastAsia="georgia" w:cs="georgia" w:ascii="georgia" w:hAnsi="georgia"/>
          <w:color w:val="000000"/>
        </w:rPr>
        <w:t xml:space="preserve"> Not applicable; this is an absolute value KPI.[cite:1]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Unit:</w:t>
      </w:r>
      <w:r>
        <w:rPr>
          <w:rFonts w:eastAsia="georgia" w:cs="georgia" w:ascii="georgia" w:hAnsi="georgia"/>
          <w:color w:val="000000"/>
        </w:rPr>
        <w:t xml:space="preserve"> Currency value or hours saved.[cite:1]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Primary Segment:</w:t>
      </w:r>
      <w:r>
        <w:rPr>
          <w:rFonts w:eastAsia="georgia" w:cs="georgia" w:ascii="georgia" w:hAnsi="georgia"/>
          <w:color w:val="000000"/>
        </w:rPr>
        <w:t xml:space="preserve"> Client / tenant.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Secondary Segment:</w:t>
      </w:r>
      <w:r>
        <w:rPr>
          <w:rFonts w:eastAsia="georgia" w:cs="georgia" w:ascii="georgia" w:hAnsi="georgia"/>
          <w:color w:val="000000"/>
        </w:rPr>
        <w:t xml:space="preserve"> Sales team, source, and month.[cite:1]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Measurement Window:</w:t>
      </w:r>
      <w:r>
        <w:rPr>
          <w:rFonts w:eastAsia="georgia" w:cs="georgia" w:ascii="georgia" w:hAnsi="georgia"/>
          <w:color w:val="000000"/>
        </w:rPr>
        <w:t xml:space="preserve"> Rolling 30 to 90 days.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Baseline:</w:t>
      </w:r>
      <w:r>
        <w:rPr>
          <w:rFonts w:eastAsia="georgia" w:cs="georgia" w:ascii="georgia" w:hAnsi="georgia"/>
          <w:color w:val="000000"/>
        </w:rPr>
        <w:t xml:space="preserve"> Average time previously spent on low-quality leads before scoring.[cite:1]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Target:</w:t>
      </w:r>
      <w:r>
        <w:rPr>
          <w:rFonts w:eastAsia="georgia" w:cs="georgia" w:ascii="georgia" w:hAnsi="georgia"/>
          <w:color w:val="000000"/>
        </w:rPr>
        <w:t xml:space="preserve"> Measurable positive value.[cite:1]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Green Threshold:</w:t>
      </w:r>
      <w:r>
        <w:rPr>
          <w:rFonts w:eastAsia="georgia" w:cs="georgia" w:ascii="georgia" w:hAnsi="georgia"/>
          <w:color w:val="000000"/>
        </w:rPr>
        <w:t xml:space="preserve"> Positive and stable time or cost savings across review periods.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Amber Threshold:</w:t>
      </w:r>
      <w:r>
        <w:rPr>
          <w:rFonts w:eastAsia="georgia" w:cs="georgia" w:ascii="georgia" w:hAnsi="georgia"/>
          <w:color w:val="000000"/>
        </w:rPr>
        <w:t xml:space="preserve"> Savings are small or inconsistent.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Red Threshold:</w:t>
      </w:r>
      <w:r>
        <w:rPr>
          <w:rFonts w:eastAsia="georgia" w:cs="georgia" w:ascii="georgia" w:hAnsi="georgia"/>
          <w:color w:val="000000"/>
        </w:rPr>
        <w:t xml:space="preserve"> No measurable savings or increased effort on Cold leads.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Owner:</w:t>
      </w:r>
      <w:r>
        <w:rPr>
          <w:rFonts w:eastAsia="georgia" w:cs="georgia" w:ascii="georgia" w:hAnsi="georgia"/>
          <w:color w:val="000000"/>
        </w:rPr>
        <w:t xml:space="preserve"> RevOps or sales operations owner.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Data Sources:</w:t>
      </w:r>
      <w:r>
        <w:rPr>
          <w:rFonts w:eastAsia="georgia" w:cs="georgia" w:ascii="georgia" w:hAnsi="georgia"/>
          <w:color w:val="000000"/>
        </w:rPr>
        <w:t xml:space="preserve"> Bucket assignment data, sales activity logs, rep time assumptions, and labor cost assumptions.[cite:1]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Refresh Frequency:</w:t>
      </w:r>
      <w:r>
        <w:rPr>
          <w:rFonts w:eastAsia="georgia" w:cs="georgia" w:ascii="georgia" w:hAnsi="georgia"/>
          <w:color w:val="000000"/>
        </w:rPr>
        <w:t xml:space="preserve"> Weekly or biweekly.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Review Cadence:</w:t>
      </w:r>
      <w:r>
        <w:rPr>
          <w:rFonts w:eastAsia="georgia" w:cs="georgia" w:ascii="georgia" w:hAnsi="georgia"/>
          <w:color w:val="000000"/>
        </w:rPr>
        <w:t xml:space="preserve"> Monthly.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Action Rule:</w:t>
      </w:r>
      <w:r>
        <w:rPr>
          <w:rFonts w:eastAsia="georgia" w:cs="georgia" w:ascii="georgia" w:hAnsi="georgia"/>
          <w:color w:val="000000"/>
        </w:rPr>
        <w:t xml:space="preserve"> If red, check whether reps are still working Cold leads heavily or whether the Cold threshold is too loose.[cite:1]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Risks / Caveats:</w:t>
      </w:r>
      <w:r>
        <w:rPr>
          <w:rFonts w:eastAsia="georgia" w:cs="georgia" w:ascii="georgia" w:hAnsi="georgia"/>
          <w:color w:val="000000"/>
        </w:rPr>
        <w:t xml:space="preserve"> This KPI depends on decent activity logging and reasonable time-cost assumptions, so it is directionally useful before it becomes financially precise.[cite:1]</w:t>
      </w:r>
    </w:p>
    <w:p>
      <w:pPr>
        <w:spacing w:line="360" w:before="315" w:after="105" w:lineRule="auto"/>
        <w:ind w:left="-30"/>
        <w:jc w:val="left"/>
      </w:pPr>
      <w:bookmarkStart w:id="4" w:name="bm_4_revenue_per_scored_lead_lift"/>
      <w:r>
        <w:rPr>
          <w:rFonts w:eastAsia="georgia" w:cs="georgia" w:ascii="georgia" w:hAnsi="georgia"/>
          <w:b/>
          <w:color w:val="000000"/>
          <w:sz w:val="24"/>
        </w:rPr>
        <w:t xml:space="preserve">4) Revenue per Scored Lead Lift</w:t>
      </w:r>
      <w:bookmarkEnd w:id="4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KPI Name:</w:t>
      </w:r>
      <w:r>
        <w:rPr>
          <w:rFonts w:eastAsia="georgia" w:cs="georgia" w:ascii="georgia" w:hAnsi="georgia"/>
          <w:color w:val="000000"/>
        </w:rPr>
        <w:t xml:space="preserve"> Revenue per Scored Lead Lift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Business Objective:</w:t>
      </w:r>
      <w:r>
        <w:rPr>
          <w:rFonts w:eastAsia="georgia" w:cs="georgia" w:ascii="georgia" w:hAnsi="georgia"/>
          <w:color w:val="000000"/>
        </w:rPr>
        <w:t xml:space="preserve"> Measure whether scored leads generate more revenue per lead than the old process.[cite:1]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Decision Supported:</w:t>
      </w:r>
      <w:r>
        <w:rPr>
          <w:rFonts w:eastAsia="georgia" w:cs="georgia" w:ascii="georgia" w:hAnsi="georgia"/>
          <w:color w:val="000000"/>
        </w:rPr>
        <w:t xml:space="preserve"> Decide whether the system is improving business value, not just improving conversion count.[cite:1]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KPI Type:</w:t>
      </w:r>
      <w:r>
        <w:rPr>
          <w:rFonts w:eastAsia="georgia" w:cs="georgia" w:ascii="georgia" w:hAnsi="georgia"/>
          <w:color w:val="000000"/>
        </w:rPr>
        <w:t xml:space="preserve"> Outcome KPI; revenue KPI.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Definition:</w:t>
      </w:r>
      <w:r>
        <w:rPr>
          <w:rFonts w:eastAsia="georgia" w:cs="georgia" w:ascii="georgia" w:hAnsi="georgia"/>
          <w:color w:val="000000"/>
        </w:rPr>
        <w:t xml:space="preserve"> The percentage increase in average revenue per scored lead versus baseline revenue per lead.[cite:1]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Formula:</w:t>
      </w:r>
      <w:r>
        <w:rPr>
          <w:rFonts w:eastAsia="georgia" w:cs="georgia" w:ascii="georgia" w:hAnsi="georgia"/>
          <w:color w:val="000000"/>
        </w:rPr>
        <w:t xml:space="preserve"> </w:t>
      </w:r>
      <m:oMath>
        <m:r>
          <m:rPr>
            <m:sty m:val="p"/>
          </m:rPr>
          <w:rPr>
            <w:color w:val="000000"/>
          </w:rPr>
          <m:t>(</m:t>
        </m:r>
        <m:r>
          <m:rPr>
            <m:nor/>
          </m:rPr>
          <w:rPr>
            <w:color w:val="000000"/>
          </w:rPr>
          <m:t>Revenue per scored lead</m:t>
        </m:r>
        <m:r>
          <m:rPr>
            <m:sty m:val="p"/>
          </m:rPr>
          <w:rPr>
            <w:color w:val="000000"/>
          </w:rPr>
          <m:t>−</m:t>
        </m:r>
        <m:r>
          <m:rPr>
            <m:nor/>
          </m:rPr>
          <w:rPr>
            <w:color w:val="000000"/>
          </w:rPr>
          <m:t>Baseline revenue per lead</m:t>
        </m:r>
        <m:r>
          <m:rPr>
            <m:sty m:val="p"/>
          </m:rPr>
          <w:rPr>
            <w:color w:val="000000"/>
          </w:rPr>
          <m:t>)</m:t>
        </m:r>
        <m:r>
          <m:rPr>
            <m:sty m:val="p"/>
          </m:rPr>
          <w:rPr>
            <w:color w:val="000000"/>
          </w:rPr>
          <m:t>/</m:t>
        </m:r>
        <m:r>
          <m:rPr>
            <m:nor/>
          </m:rPr>
          <w:rPr>
            <w:color w:val="000000"/>
          </w:rPr>
          <m:t>Baseline revenue per lead</m:t>
        </m:r>
        <m:r>
          <m:rPr>
            <m:sty m:val="p"/>
          </m:rPr>
          <w:rPr>
            <w:color w:val="000000"/>
          </w:rPr>
          <m:t>×</m:t>
        </m:r>
        <m:r>
          <m:rPr>
            <m:sty m:val="p"/>
          </m:rPr>
          <w:rPr>
            <w:color w:val="000000"/>
          </w:rPr>
          <m:t>100</m:t>
        </m:r>
      </m:oMath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Numerator:</w:t>
      </w:r>
      <w:r>
        <w:rPr>
          <w:rFonts w:eastAsia="georgia" w:cs="georgia" w:ascii="georgia" w:hAnsi="georgia"/>
          <w:color w:val="000000"/>
        </w:rPr>
        <w:t xml:space="preserve"> Revenue per scored lead minus baseline revenue per lead.[cite:1]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Denominator:</w:t>
      </w:r>
      <w:r>
        <w:rPr>
          <w:rFonts w:eastAsia="georgia" w:cs="georgia" w:ascii="georgia" w:hAnsi="georgia"/>
          <w:color w:val="000000"/>
        </w:rPr>
        <w:t xml:space="preserve"> Baseline revenue per lead.[cite:1]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Unit:</w:t>
      </w:r>
      <w:r>
        <w:rPr>
          <w:rFonts w:eastAsia="georgia" w:cs="georgia" w:ascii="georgia" w:hAnsi="georgia"/>
          <w:color w:val="000000"/>
        </w:rPr>
        <w:t xml:space="preserve"> Percentage (%).[cite:1]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Primary Segment:</w:t>
      </w:r>
      <w:r>
        <w:rPr>
          <w:rFonts w:eastAsia="georgia" w:cs="georgia" w:ascii="georgia" w:hAnsi="georgia"/>
          <w:color w:val="000000"/>
        </w:rPr>
        <w:t xml:space="preserve"> Client / tenant.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Secondary Segment:</w:t>
      </w:r>
      <w:r>
        <w:rPr>
          <w:rFonts w:eastAsia="georgia" w:cs="georgia" w:ascii="georgia" w:hAnsi="georgia"/>
          <w:color w:val="000000"/>
        </w:rPr>
        <w:t xml:space="preserve"> Source, product line, and quarter.[cite:1]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Measurement Window:</w:t>
      </w:r>
      <w:r>
        <w:rPr>
          <w:rFonts w:eastAsia="georgia" w:cs="georgia" w:ascii="georgia" w:hAnsi="georgia"/>
          <w:color w:val="000000"/>
        </w:rPr>
        <w:t xml:space="preserve"> Quarterly or longer, because enough closed-won revenue needs to accumulate.[cite:1]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Baseline:</w:t>
      </w:r>
      <w:r>
        <w:rPr>
          <w:rFonts w:eastAsia="georgia" w:cs="georgia" w:ascii="georgia" w:hAnsi="georgia"/>
          <w:color w:val="000000"/>
        </w:rPr>
        <w:t xml:space="preserve"> Historical revenue per lead before the system, or revenue per unscored lead cohort.[cite:1]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Target:</w:t>
      </w:r>
      <w:r>
        <w:rPr>
          <w:rFonts w:eastAsia="georgia" w:cs="georgia" w:ascii="georgia" w:hAnsi="georgia"/>
          <w:color w:val="000000"/>
        </w:rPr>
        <w:t xml:space="preserve"> Greater than or equal to 15% higher revenue per scored lead.[cite:1]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Green Threshold:</w:t>
      </w:r>
      <w:r>
        <w:rPr>
          <w:rFonts w:eastAsia="georgia" w:cs="georgia" w:ascii="georgia" w:hAnsi="georgia"/>
          <w:color w:val="000000"/>
        </w:rPr>
        <w:t xml:space="preserve"> Greater than or equal to +15%.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Amber Threshold:</w:t>
      </w:r>
      <w:r>
        <w:rPr>
          <w:rFonts w:eastAsia="georgia" w:cs="georgia" w:ascii="georgia" w:hAnsi="georgia"/>
          <w:color w:val="000000"/>
        </w:rPr>
        <w:t xml:space="preserve"> 0% to +14.9%.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Red Threshold:</w:t>
      </w:r>
      <w:r>
        <w:rPr>
          <w:rFonts w:eastAsia="georgia" w:cs="georgia" w:ascii="georgia" w:hAnsi="georgia"/>
          <w:color w:val="000000"/>
        </w:rPr>
        <w:t xml:space="preserve"> Below 0%.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Owner:</w:t>
      </w:r>
      <w:r>
        <w:rPr>
          <w:rFonts w:eastAsia="georgia" w:cs="georgia" w:ascii="georgia" w:hAnsi="georgia"/>
          <w:color w:val="000000"/>
        </w:rPr>
        <w:t xml:space="preserve"> Product owner with finance or RevOps support.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Data Sources:</w:t>
      </w:r>
      <w:r>
        <w:rPr>
          <w:rFonts w:eastAsia="georgia" w:cs="georgia" w:ascii="georgia" w:hAnsi="georgia"/>
          <w:color w:val="000000"/>
        </w:rPr>
        <w:t xml:space="preserve"> Lead scoring data, CRM opportunities, closed-won revenue, and historical revenue-per-lead baseline.[cite:1]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Refresh Frequency:</w:t>
      </w:r>
      <w:r>
        <w:rPr>
          <w:rFonts w:eastAsia="georgia" w:cs="georgia" w:ascii="georgia" w:hAnsi="georgia"/>
          <w:color w:val="000000"/>
        </w:rPr>
        <w:t xml:space="preserve"> Monthly.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Review Cadence:</w:t>
      </w:r>
      <w:r>
        <w:rPr>
          <w:rFonts w:eastAsia="georgia" w:cs="georgia" w:ascii="georgia" w:hAnsi="georgia"/>
          <w:color w:val="000000"/>
        </w:rPr>
        <w:t xml:space="preserve"> Quarterly.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Action Rule:</w:t>
      </w:r>
      <w:r>
        <w:rPr>
          <w:rFonts w:eastAsia="georgia" w:cs="georgia" w:ascii="georgia" w:hAnsi="georgia"/>
          <w:color w:val="000000"/>
        </w:rPr>
        <w:t xml:space="preserve"> If red while conversion lift is positive, inspect whether the system is improving low-value conversions rather than high-value ones.[cite:1]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Risks / Caveats:</w:t>
      </w:r>
      <w:r>
        <w:rPr>
          <w:rFonts w:eastAsia="georgia" w:cs="georgia" w:ascii="georgia" w:hAnsi="georgia"/>
          <w:color w:val="000000"/>
        </w:rPr>
        <w:t xml:space="preserve"> Revenue lag is longer than conversion lag, and small deal counts can make this KPI noisy in the early stage.[cite:1]</w:t>
      </w:r>
    </w:p>
    <w:p>
      <w:pPr>
        <w:spacing w:line="360" w:before="315" w:after="105" w:lineRule="auto"/>
        <w:ind w:left="-30"/>
        <w:jc w:val="left"/>
      </w:pPr>
      <w:bookmarkStart w:id="5" w:name="bm_5_time_to_first_contact_for_hot_leads"/>
      <w:r>
        <w:rPr>
          <w:rFonts w:eastAsia="georgia" w:cs="georgia" w:ascii="georgia" w:hAnsi="georgia"/>
          <w:b/>
          <w:color w:val="000000"/>
          <w:sz w:val="24"/>
        </w:rPr>
        <w:t xml:space="preserve">5) Time-to-First-Contact for Hot Leads</w:t>
      </w:r>
      <w:bookmarkEnd w:id="5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KPI Name:</w:t>
      </w:r>
      <w:r>
        <w:rPr>
          <w:rFonts w:eastAsia="georgia" w:cs="georgia" w:ascii="georgia" w:hAnsi="georgia"/>
          <w:color w:val="000000"/>
        </w:rPr>
        <w:t xml:space="preserve"> Time-to-First-Contact for Hot Leads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Business Objective:</w:t>
      </w:r>
      <w:r>
        <w:rPr>
          <w:rFonts w:eastAsia="georgia" w:cs="georgia" w:ascii="georgia" w:hAnsi="georgia"/>
          <w:color w:val="000000"/>
        </w:rPr>
        <w:t xml:space="preserve"> Measure whether the system compresses response time for the highest-priority leads.[cite:1]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Decision Supported:</w:t>
      </w:r>
      <w:r>
        <w:rPr>
          <w:rFonts w:eastAsia="georgia" w:cs="georgia" w:ascii="georgia" w:hAnsi="georgia"/>
          <w:color w:val="000000"/>
        </w:rPr>
        <w:t xml:space="preserve"> Decide whether instant scoring and notification are translating into faster sales action.[cite:1]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KPI Type:</w:t>
      </w:r>
      <w:r>
        <w:rPr>
          <w:rFonts w:eastAsia="georgia" w:cs="georgia" w:ascii="georgia" w:hAnsi="georgia"/>
          <w:color w:val="000000"/>
        </w:rPr>
        <w:t xml:space="preserve"> Execution KPI; latency KPI.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Definition:</w:t>
      </w:r>
      <w:r>
        <w:rPr>
          <w:rFonts w:eastAsia="georgia" w:cs="georgia" w:ascii="georgia" w:hAnsi="georgia"/>
          <w:color w:val="000000"/>
        </w:rPr>
        <w:t xml:space="preserve"> Median time between Hot lead notification and the first documented sales touchpoint.[cite:1]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Formula:</w:t>
      </w:r>
      <w:r>
        <w:rPr>
          <w:rFonts w:eastAsia="georgia" w:cs="georgia" w:ascii="georgia" w:hAnsi="georgia"/>
          <w:color w:val="000000"/>
        </w:rPr>
        <w:t xml:space="preserve"> Median</w:t>
      </w:r>
      <m:oMath>
        <m:r>
          <m:rPr>
            <m:sty m:val="p"/>
          </m:rPr>
          <w:rPr>
            <w:color w:val="000000"/>
          </w:rPr>
          <m:t>(</m:t>
        </m:r>
        <m:r>
          <m:rPr>
            <m:nor/>
          </m:rPr>
          <w:rPr>
            <w:color w:val="000000"/>
          </w:rPr>
          <m:t>First sales touch timestamp</m:t>
        </m:r>
        <m:r>
          <m:rPr>
            <m:sty m:val="p"/>
          </m:rPr>
          <w:rPr>
            <w:color w:val="000000"/>
          </w:rPr>
          <m:t>−</m:t>
        </m:r>
        <m:r>
          <m:rPr>
            <m:nor/>
          </m:rPr>
          <w:rPr>
            <w:color w:val="000000"/>
          </w:rPr>
          <m:t>Hot notification timestamp</m:t>
        </m:r>
        <m:r>
          <m:rPr>
            <m:sty m:val="p"/>
          </m:rPr>
          <w:rPr>
            <w:color w:val="000000"/>
          </w:rPr>
          <m:t>)</m:t>
        </m:r>
      </m:oMath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Numerator:</w:t>
      </w:r>
      <w:r>
        <w:rPr>
          <w:rFonts w:eastAsia="georgia" w:cs="georgia" w:ascii="georgia" w:hAnsi="georgia"/>
          <w:color w:val="000000"/>
        </w:rPr>
        <w:t xml:space="preserve"> Elapsed time from Hot notification to first sales touch for each Hot lead.[cite:1]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Denominator:</w:t>
      </w:r>
      <w:r>
        <w:rPr>
          <w:rFonts w:eastAsia="georgia" w:cs="georgia" w:ascii="georgia" w:hAnsi="georgia"/>
          <w:color w:val="000000"/>
        </w:rPr>
        <w:t xml:space="preserve"> Not applicable; median of eligible Hot leads.[cite:1]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Unit:</w:t>
      </w:r>
      <w:r>
        <w:rPr>
          <w:rFonts w:eastAsia="georgia" w:cs="georgia" w:ascii="georgia" w:hAnsi="georgia"/>
          <w:color w:val="000000"/>
        </w:rPr>
        <w:t xml:space="preserve"> Hours.[cite:1]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Primary Segment:</w:t>
      </w:r>
      <w:r>
        <w:rPr>
          <w:rFonts w:eastAsia="georgia" w:cs="georgia" w:ascii="georgia" w:hAnsi="georgia"/>
          <w:color w:val="000000"/>
        </w:rPr>
        <w:t xml:space="preserve"> Client / tenant.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Secondary Segment:</w:t>
      </w:r>
      <w:r>
        <w:rPr>
          <w:rFonts w:eastAsia="georgia" w:cs="georgia" w:ascii="georgia" w:hAnsi="georgia"/>
          <w:color w:val="000000"/>
        </w:rPr>
        <w:t xml:space="preserve"> Team member, source, and weekday / hour band.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Measurement Window:</w:t>
      </w:r>
      <w:r>
        <w:rPr>
          <w:rFonts w:eastAsia="georgia" w:cs="georgia" w:ascii="georgia" w:hAnsi="georgia"/>
          <w:color w:val="000000"/>
        </w:rPr>
        <w:t xml:space="preserve"> Rolling 7 days and 30 days.[cite:1]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Baseline:</w:t>
      </w:r>
      <w:r>
        <w:rPr>
          <w:rFonts w:eastAsia="georgia" w:cs="georgia" w:ascii="georgia" w:hAnsi="georgia"/>
          <w:color w:val="000000"/>
        </w:rPr>
        <w:t xml:space="preserve"> Pre-system response time, which the source notes was commonly 24 to 48 hours for many teams.[cite:1]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Target:</w:t>
      </w:r>
      <w:r>
        <w:rPr>
          <w:rFonts w:eastAsia="georgia" w:cs="georgia" w:ascii="georgia" w:hAnsi="georgia"/>
          <w:color w:val="000000"/>
        </w:rPr>
        <w:t xml:space="preserve"> Less than 4 hours.[cite:1]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Green Threshold:</w:t>
      </w:r>
      <w:r>
        <w:rPr>
          <w:rFonts w:eastAsia="georgia" w:cs="georgia" w:ascii="georgia" w:hAnsi="georgia"/>
          <w:color w:val="000000"/>
        </w:rPr>
        <w:t xml:space="preserve"> Under 4 hours.[cite:1]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Amber Threshold:</w:t>
      </w:r>
      <w:r>
        <w:rPr>
          <w:rFonts w:eastAsia="georgia" w:cs="georgia" w:ascii="georgia" w:hAnsi="georgia"/>
          <w:color w:val="000000"/>
        </w:rPr>
        <w:t xml:space="preserve"> 4 to 24 hours.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Red Threshold:</w:t>
      </w:r>
      <w:r>
        <w:rPr>
          <w:rFonts w:eastAsia="georgia" w:cs="georgia" w:ascii="georgia" w:hAnsi="georgia"/>
          <w:color w:val="000000"/>
        </w:rPr>
        <w:t xml:space="preserve"> Greater than 24 hours.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Owner:</w:t>
      </w:r>
      <w:r>
        <w:rPr>
          <w:rFonts w:eastAsia="georgia" w:cs="georgia" w:ascii="georgia" w:hAnsi="georgia"/>
          <w:color w:val="000000"/>
        </w:rPr>
        <w:t xml:space="preserve"> Sales manager or RevOps owner.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Data Sources:</w:t>
      </w:r>
      <w:r>
        <w:rPr>
          <w:rFonts w:eastAsia="georgia" w:cs="georgia" w:ascii="georgia" w:hAnsi="georgia"/>
          <w:color w:val="000000"/>
        </w:rPr>
        <w:t xml:space="preserve"> Notification sent events and first sales touch events.[cite:1]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Refresh Frequency:</w:t>
      </w:r>
      <w:r>
        <w:rPr>
          <w:rFonts w:eastAsia="georgia" w:cs="georgia" w:ascii="georgia" w:hAnsi="georgia"/>
          <w:color w:val="000000"/>
        </w:rPr>
        <w:t xml:space="preserve"> Daily.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Review Cadence:</w:t>
      </w:r>
      <w:r>
        <w:rPr>
          <w:rFonts w:eastAsia="georgia" w:cs="georgia" w:ascii="georgia" w:hAnsi="georgia"/>
          <w:color w:val="000000"/>
        </w:rPr>
        <w:t xml:space="preserve"> Weekly.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Action Rule:</w:t>
      </w:r>
      <w:r>
        <w:rPr>
          <w:rFonts w:eastAsia="georgia" w:cs="georgia" w:ascii="georgia" w:hAnsi="georgia"/>
          <w:color w:val="000000"/>
        </w:rPr>
        <w:t xml:space="preserve"> If red, inspect alert delivery, sales queue design, staffing gaps, and whether Hot leads are reaching the correct owner in time.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Risks / Caveats:</w:t>
      </w:r>
      <w:r>
        <w:rPr>
          <w:rFonts w:eastAsia="georgia" w:cs="georgia" w:ascii="georgia" w:hAnsi="georgia"/>
          <w:color w:val="000000"/>
        </w:rPr>
        <w:t xml:space="preserve"> Fast contact does not always mean high-quality contact, so this KPI should be read with prioritization and conversion KPIs.[cite:1]</w:t>
      </w:r>
    </w:p>
    <w:p>
      <w:pPr>
        <w:spacing w:line="360" w:before="315" w:after="105" w:lineRule="auto"/>
        <w:ind w:left="-30"/>
        <w:jc w:val="left"/>
      </w:pPr>
      <w:bookmarkStart w:id="6" w:name="bm_6_hot_lead_prioritization_rate"/>
      <w:r>
        <w:rPr>
          <w:rFonts w:eastAsia="georgia" w:cs="georgia" w:ascii="georgia" w:hAnsi="georgia"/>
          <w:b/>
          <w:color w:val="000000"/>
          <w:sz w:val="24"/>
        </w:rPr>
        <w:t xml:space="preserve">6) Hot Lead Prioritization Rate</w:t>
      </w:r>
      <w:bookmarkEnd w:id="6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KPI Name:</w:t>
      </w:r>
      <w:r>
        <w:rPr>
          <w:rFonts w:eastAsia="georgia" w:cs="georgia" w:ascii="georgia" w:hAnsi="georgia"/>
          <w:color w:val="000000"/>
        </w:rPr>
        <w:t xml:space="preserve"> Hot Lead Prioritization Rate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Business Objective:</w:t>
      </w:r>
      <w:r>
        <w:rPr>
          <w:rFonts w:eastAsia="georgia" w:cs="georgia" w:ascii="georgia" w:hAnsi="georgia"/>
          <w:color w:val="000000"/>
        </w:rPr>
        <w:t xml:space="preserve"> Measure whether sales teams actually work Hot leads before lower-priority leads.[cite:1]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Decision Supported:</w:t>
      </w:r>
      <w:r>
        <w:rPr>
          <w:rFonts w:eastAsia="georgia" w:cs="georgia" w:ascii="georgia" w:hAnsi="georgia"/>
          <w:color w:val="000000"/>
        </w:rPr>
        <w:t xml:space="preserve"> Decide whether the prioritization logic is changing queue behavior rather than being ignored.[cite:1]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KPI Type:</w:t>
      </w:r>
      <w:r>
        <w:rPr>
          <w:rFonts w:eastAsia="georgia" w:cs="georgia" w:ascii="georgia" w:hAnsi="georgia"/>
          <w:color w:val="000000"/>
        </w:rPr>
        <w:t xml:space="preserve"> Behavioral KPI; execution KPI.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Definition:</w:t>
      </w:r>
      <w:r>
        <w:rPr>
          <w:rFonts w:eastAsia="georgia" w:cs="georgia" w:ascii="georgia" w:hAnsi="georgia"/>
          <w:color w:val="000000"/>
        </w:rPr>
        <w:t xml:space="preserve"> Percentage of Hot leads that are contacted before any Warm or Cold lead from the same batch.[cite:1]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Formula:</w:t>
      </w:r>
      <w:r>
        <w:rPr>
          <w:rFonts w:eastAsia="georgia" w:cs="georgia" w:ascii="georgia" w:hAnsi="georgia"/>
          <w:color w:val="000000"/>
        </w:rPr>
        <w:t xml:space="preserve"> </w:t>
      </w:r>
      <m:oMath>
        <m:r>
          <m:rPr>
            <m:nor/>
          </m:rPr>
          <w:rPr>
            <w:color w:val="000000"/>
          </w:rPr>
          <m:t>Hot leads contacted before lower-priority leads in same batch</m:t>
        </m:r>
        <m:r>
          <m:rPr>
            <m:sty m:val="p"/>
          </m:rPr>
          <w:rPr>
            <w:color w:val="000000"/>
          </w:rPr>
          <m:t>/</m:t>
        </m:r>
        <m:r>
          <m:rPr>
            <m:nor/>
          </m:rPr>
          <w:rPr>
            <w:color w:val="000000"/>
          </w:rPr>
          <m:t>Total eligible Hot leads</m:t>
        </m:r>
        <m:r>
          <m:rPr>
            <m:sty m:val="p"/>
          </m:rPr>
          <w:rPr>
            <w:color w:val="000000"/>
          </w:rPr>
          <m:t>×</m:t>
        </m:r>
        <m:r>
          <m:rPr>
            <m:sty m:val="p"/>
          </m:rPr>
          <w:rPr>
            <w:color w:val="000000"/>
          </w:rPr>
          <m:t>100</m:t>
        </m:r>
      </m:oMath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Numerator:</w:t>
      </w:r>
      <w:r>
        <w:rPr>
          <w:rFonts w:eastAsia="georgia" w:cs="georgia" w:ascii="georgia" w:hAnsi="georgia"/>
          <w:color w:val="000000"/>
        </w:rPr>
        <w:t xml:space="preserve"> Number of Hot leads contacted before any Warm or Cold lead in the same batch.[cite:1]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Denominator:</w:t>
      </w:r>
      <w:r>
        <w:rPr>
          <w:rFonts w:eastAsia="georgia" w:cs="georgia" w:ascii="georgia" w:hAnsi="georgia"/>
          <w:color w:val="000000"/>
        </w:rPr>
        <w:t xml:space="preserve"> Total eligible Hot leads with comparable batch context.[cite:1]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Unit:</w:t>
      </w:r>
      <w:r>
        <w:rPr>
          <w:rFonts w:eastAsia="georgia" w:cs="georgia" w:ascii="georgia" w:hAnsi="georgia"/>
          <w:color w:val="000000"/>
        </w:rPr>
        <w:t xml:space="preserve"> Percentage (%).[cite:1]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Primary Segment:</w:t>
      </w:r>
      <w:r>
        <w:rPr>
          <w:rFonts w:eastAsia="georgia" w:cs="georgia" w:ascii="georgia" w:hAnsi="georgia"/>
          <w:color w:val="000000"/>
        </w:rPr>
        <w:t xml:space="preserve"> Client / tenant.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Secondary Segment:</w:t>
      </w:r>
      <w:r>
        <w:rPr>
          <w:rFonts w:eastAsia="georgia" w:cs="georgia" w:ascii="georgia" w:hAnsi="georgia"/>
          <w:color w:val="000000"/>
        </w:rPr>
        <w:t xml:space="preserve"> Sales team, batch, source, and rep.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Measurement Window:</w:t>
      </w:r>
      <w:r>
        <w:rPr>
          <w:rFonts w:eastAsia="georgia" w:cs="georgia" w:ascii="georgia" w:hAnsi="georgia"/>
          <w:color w:val="000000"/>
        </w:rPr>
        <w:t xml:space="preserve"> Rolling 7 days and 30 days.[cite:1]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Baseline:</w:t>
      </w:r>
      <w:r>
        <w:rPr>
          <w:rFonts w:eastAsia="georgia" w:cs="georgia" w:ascii="georgia" w:hAnsi="georgia"/>
          <w:color w:val="000000"/>
        </w:rPr>
        <w:t xml:space="preserve"> Pre-system list-working behavior, where teams often worked leads in queue order rather than value order.[cite:1]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Target:</w:t>
      </w:r>
      <w:r>
        <w:rPr>
          <w:rFonts w:eastAsia="georgia" w:cs="georgia" w:ascii="georgia" w:hAnsi="georgia"/>
          <w:color w:val="000000"/>
        </w:rPr>
        <w:t xml:space="preserve"> Greater than or equal to 90%.[cite:1]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Green Threshold:</w:t>
      </w:r>
      <w:r>
        <w:rPr>
          <w:rFonts w:eastAsia="georgia" w:cs="georgia" w:ascii="georgia" w:hAnsi="georgia"/>
          <w:color w:val="000000"/>
        </w:rPr>
        <w:t xml:space="preserve"> Greater than or equal to 90%.[cite:1]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Amber Threshold:</w:t>
      </w:r>
      <w:r>
        <w:rPr>
          <w:rFonts w:eastAsia="georgia" w:cs="georgia" w:ascii="georgia" w:hAnsi="georgia"/>
          <w:color w:val="000000"/>
        </w:rPr>
        <w:t xml:space="preserve"> 70% to 89.9%.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Red Threshold:</w:t>
      </w:r>
      <w:r>
        <w:rPr>
          <w:rFonts w:eastAsia="georgia" w:cs="georgia" w:ascii="georgia" w:hAnsi="georgia"/>
          <w:color w:val="000000"/>
        </w:rPr>
        <w:t xml:space="preserve"> Below 70%.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Owner:</w:t>
      </w:r>
      <w:r>
        <w:rPr>
          <w:rFonts w:eastAsia="georgia" w:cs="georgia" w:ascii="georgia" w:hAnsi="georgia"/>
          <w:color w:val="000000"/>
        </w:rPr>
        <w:t xml:space="preserve"> Sales manager.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Data Sources:</w:t>
      </w:r>
      <w:r>
        <w:rPr>
          <w:rFonts w:eastAsia="georgia" w:cs="georgia" w:ascii="georgia" w:hAnsi="georgia"/>
          <w:color w:val="000000"/>
        </w:rPr>
        <w:t xml:space="preserve"> Lead bucket assignment, batch metadata, and first-touch activity logs.[cite:1]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Refresh Frequency:</w:t>
      </w:r>
      <w:r>
        <w:rPr>
          <w:rFonts w:eastAsia="georgia" w:cs="georgia" w:ascii="georgia" w:hAnsi="georgia"/>
          <w:color w:val="000000"/>
        </w:rPr>
        <w:t xml:space="preserve"> Daily.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Review Cadence:</w:t>
      </w:r>
      <w:r>
        <w:rPr>
          <w:rFonts w:eastAsia="georgia" w:cs="georgia" w:ascii="georgia" w:hAnsi="georgia"/>
          <w:color w:val="000000"/>
        </w:rPr>
        <w:t xml:space="preserve"> Weekly.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Action Rule:</w:t>
      </w:r>
      <w:r>
        <w:rPr>
          <w:rFonts w:eastAsia="georgia" w:cs="georgia" w:ascii="georgia" w:hAnsi="georgia"/>
          <w:color w:val="000000"/>
        </w:rPr>
        <w:t xml:space="preserve"> If red, redesign task ordering, inbox sorting, and Hot-lead visibility before re-tuning the model.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Risks / Caveats:</w:t>
      </w:r>
      <w:r>
        <w:rPr>
          <w:rFonts w:eastAsia="georgia" w:cs="georgia" w:ascii="georgia" w:hAnsi="georgia"/>
          <w:color w:val="000000"/>
        </w:rPr>
        <w:t xml:space="preserve"> This KPI can be noisy if batches are poorly defined or if reps manually pull leads outside the intended workflow.[cite:1]</w:t>
      </w:r>
    </w:p>
    <w:p>
      <w:pPr>
        <w:spacing w:line="360" w:before="315" w:after="105" w:lineRule="auto"/>
        <w:ind w:left="-30"/>
        <w:jc w:val="left"/>
      </w:pPr>
      <w:bookmarkStart w:id="7" w:name="bm_7_notification_response_rate"/>
      <w:r>
        <w:rPr>
          <w:rFonts w:eastAsia="georgia" w:cs="georgia" w:ascii="georgia" w:hAnsi="georgia"/>
          <w:b/>
          <w:color w:val="000000"/>
          <w:sz w:val="24"/>
        </w:rPr>
        <w:t xml:space="preserve">7) Notification Response Rate</w:t>
      </w:r>
      <w:bookmarkEnd w:id="7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KPI Name:</w:t>
      </w:r>
      <w:r>
        <w:rPr>
          <w:rFonts w:eastAsia="georgia" w:cs="georgia" w:ascii="georgia" w:hAnsi="georgia"/>
          <w:color w:val="000000"/>
        </w:rPr>
        <w:t xml:space="preserve"> Notification Response Rate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Business Objective:</w:t>
      </w:r>
      <w:r>
        <w:rPr>
          <w:rFonts w:eastAsia="georgia" w:cs="georgia" w:ascii="georgia" w:hAnsi="georgia"/>
          <w:color w:val="000000"/>
        </w:rPr>
        <w:t xml:space="preserve"> Measure whether Hot lead notifications produce timely action.[cite:1]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Decision Supported:</w:t>
      </w:r>
      <w:r>
        <w:rPr>
          <w:rFonts w:eastAsia="georgia" w:cs="georgia" w:ascii="georgia" w:hAnsi="georgia"/>
          <w:color w:val="000000"/>
        </w:rPr>
        <w:t xml:space="preserve"> Decide whether the notification layer is operationally useful or merely informational.[cite:1]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KPI Type:</w:t>
      </w:r>
      <w:r>
        <w:rPr>
          <w:rFonts w:eastAsia="georgia" w:cs="georgia" w:ascii="georgia" w:hAnsi="georgia"/>
          <w:color w:val="000000"/>
        </w:rPr>
        <w:t xml:space="preserve"> Adoption KPI; execution KPI.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Definition:</w:t>
      </w:r>
      <w:r>
        <w:rPr>
          <w:rFonts w:eastAsia="georgia" w:cs="georgia" w:ascii="georgia" w:hAnsi="georgia"/>
          <w:color w:val="000000"/>
        </w:rPr>
        <w:t xml:space="preserve"> Percentage of Hot lead notifications that result in a documented action within the SLA window.[cite:1]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Formula:</w:t>
      </w:r>
      <w:r>
        <w:rPr>
          <w:rFonts w:eastAsia="georgia" w:cs="georgia" w:ascii="georgia" w:hAnsi="georgia"/>
          <w:color w:val="000000"/>
        </w:rPr>
        <w:t xml:space="preserve"> </w:t>
      </w:r>
      <m:oMath>
        <m:r>
          <m:rPr>
            <m:nor/>
          </m:rPr>
          <w:rPr>
            <w:color w:val="000000"/>
          </w:rPr>
          <m:t>Hot notifications followed by SLA-compliant action</m:t>
        </m:r>
        <m:r>
          <m:rPr>
            <m:sty m:val="p"/>
          </m:rPr>
          <w:rPr>
            <w:color w:val="000000"/>
          </w:rPr>
          <m:t>/</m:t>
        </m:r>
        <m:r>
          <m:rPr>
            <m:nor/>
          </m:rPr>
          <w:rPr>
            <w:color w:val="000000"/>
          </w:rPr>
          <m:t>Total Hot notifications delivered</m:t>
        </m:r>
        <m:r>
          <m:rPr>
            <m:sty m:val="p"/>
          </m:rPr>
          <w:rPr>
            <w:color w:val="000000"/>
          </w:rPr>
          <m:t>×</m:t>
        </m:r>
        <m:r>
          <m:rPr>
            <m:sty m:val="p"/>
          </m:rPr>
          <w:rPr>
            <w:color w:val="000000"/>
          </w:rPr>
          <m:t>100</m:t>
        </m:r>
      </m:oMath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Numerator:</w:t>
      </w:r>
      <w:r>
        <w:rPr>
          <w:rFonts w:eastAsia="georgia" w:cs="georgia" w:ascii="georgia" w:hAnsi="georgia"/>
          <w:color w:val="000000"/>
        </w:rPr>
        <w:t xml:space="preserve"> Number of Hot notifications that lead to a documented action within the SLA window.[cite:1]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Denominator:</w:t>
      </w:r>
      <w:r>
        <w:rPr>
          <w:rFonts w:eastAsia="georgia" w:cs="georgia" w:ascii="georgia" w:hAnsi="georgia"/>
          <w:color w:val="000000"/>
        </w:rPr>
        <w:t xml:space="preserve"> Total delivered Hot notifications.[cite:1]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Unit:</w:t>
      </w:r>
      <w:r>
        <w:rPr>
          <w:rFonts w:eastAsia="georgia" w:cs="georgia" w:ascii="georgia" w:hAnsi="georgia"/>
          <w:color w:val="000000"/>
        </w:rPr>
        <w:t xml:space="preserve"> Percentage (%).[cite:1]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Primary Segment:</w:t>
      </w:r>
      <w:r>
        <w:rPr>
          <w:rFonts w:eastAsia="georgia" w:cs="georgia" w:ascii="georgia" w:hAnsi="georgia"/>
          <w:color w:val="000000"/>
        </w:rPr>
        <w:t xml:space="preserve"> Client / tenant.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Secondary Segment:</w:t>
      </w:r>
      <w:r>
        <w:rPr>
          <w:rFonts w:eastAsia="georgia" w:cs="georgia" w:ascii="georgia" w:hAnsi="georgia"/>
          <w:color w:val="000000"/>
        </w:rPr>
        <w:t xml:space="preserve"> Notification channel, team, and source.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Measurement Window:</w:t>
      </w:r>
      <w:r>
        <w:rPr>
          <w:rFonts w:eastAsia="georgia" w:cs="georgia" w:ascii="georgia" w:hAnsi="georgia"/>
          <w:color w:val="000000"/>
        </w:rPr>
        <w:t xml:space="preserve"> Rolling 7 days and 30 days.[cite:1]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Baseline:</w:t>
      </w:r>
      <w:r>
        <w:rPr>
          <w:rFonts w:eastAsia="georgia" w:cs="georgia" w:ascii="georgia" w:hAnsi="georgia"/>
          <w:color w:val="000000"/>
        </w:rPr>
        <w:t xml:space="preserve"> Pre-system or pre-notification action rate on urgent leads.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Target:</w:t>
      </w:r>
      <w:r>
        <w:rPr>
          <w:rFonts w:eastAsia="georgia" w:cs="georgia" w:ascii="georgia" w:hAnsi="georgia"/>
          <w:color w:val="000000"/>
        </w:rPr>
        <w:t xml:space="preserve"> Greater than or equal to 75%.[cite:1]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Green Threshold:</w:t>
      </w:r>
      <w:r>
        <w:rPr>
          <w:rFonts w:eastAsia="georgia" w:cs="georgia" w:ascii="georgia" w:hAnsi="georgia"/>
          <w:color w:val="000000"/>
        </w:rPr>
        <w:t xml:space="preserve"> Greater than or equal to 75%.[cite:1]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Amber Threshold:</w:t>
      </w:r>
      <w:r>
        <w:rPr>
          <w:rFonts w:eastAsia="georgia" w:cs="georgia" w:ascii="georgia" w:hAnsi="georgia"/>
          <w:color w:val="000000"/>
        </w:rPr>
        <w:t xml:space="preserve"> 50% to 74.9%.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Red Threshold:</w:t>
      </w:r>
      <w:r>
        <w:rPr>
          <w:rFonts w:eastAsia="georgia" w:cs="georgia" w:ascii="georgia" w:hAnsi="georgia"/>
          <w:color w:val="000000"/>
        </w:rPr>
        <w:t xml:space="preserve"> Below 50%.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Owner:</w:t>
      </w:r>
      <w:r>
        <w:rPr>
          <w:rFonts w:eastAsia="georgia" w:cs="georgia" w:ascii="georgia" w:hAnsi="georgia"/>
          <w:color w:val="000000"/>
        </w:rPr>
        <w:t xml:space="preserve"> Product owner with sales operations support.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Data Sources:</w:t>
      </w:r>
      <w:r>
        <w:rPr>
          <w:rFonts w:eastAsia="georgia" w:cs="georgia" w:ascii="georgia" w:hAnsi="georgia"/>
          <w:color w:val="000000"/>
        </w:rPr>
        <w:t xml:space="preserve"> Notification delivery events and downstream action logs such as calls, emails, or meetings.[cite:1]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Refresh Frequency:</w:t>
      </w:r>
      <w:r>
        <w:rPr>
          <w:rFonts w:eastAsia="georgia" w:cs="georgia" w:ascii="georgia" w:hAnsi="georgia"/>
          <w:color w:val="000000"/>
        </w:rPr>
        <w:t xml:space="preserve"> Daily.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Review Cadence:</w:t>
      </w:r>
      <w:r>
        <w:rPr>
          <w:rFonts w:eastAsia="georgia" w:cs="georgia" w:ascii="georgia" w:hAnsi="georgia"/>
          <w:color w:val="000000"/>
        </w:rPr>
        <w:t xml:space="preserve"> Weekly.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Action Rule:</w:t>
      </w:r>
      <w:r>
        <w:rPr>
          <w:rFonts w:eastAsia="georgia" w:cs="georgia" w:ascii="georgia" w:hAnsi="georgia"/>
          <w:color w:val="000000"/>
        </w:rPr>
        <w:t xml:space="preserve"> If red, inspect notification timing, routing, delivery reliability, and whether the content clearly tells the user what to do next.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Risks / Caveats:</w:t>
      </w:r>
      <w:r>
        <w:rPr>
          <w:rFonts w:eastAsia="georgia" w:cs="georgia" w:ascii="georgia" w:hAnsi="georgia"/>
          <w:color w:val="000000"/>
        </w:rPr>
        <w:t xml:space="preserve"> A delivered notification is not the same as a seen notification, so pair this KPI with document open and recommendation follow metrics.[cite:1]</w:t>
      </w:r>
    </w:p>
    <w:p>
      <w:pPr>
        <w:spacing w:line="360" w:before="315" w:after="105" w:lineRule="auto"/>
        <w:ind w:left="-30"/>
        <w:jc w:val="left"/>
      </w:pPr>
      <w:bookmarkStart w:id="8" w:name="bm_8_recommendation_follow_rate"/>
      <w:r>
        <w:rPr>
          <w:rFonts w:eastAsia="georgia" w:cs="georgia" w:ascii="georgia" w:hAnsi="georgia"/>
          <w:b/>
          <w:color w:val="000000"/>
          <w:sz w:val="24"/>
        </w:rPr>
        <w:t xml:space="preserve">8) Recommendation Follow Rate</w:t>
      </w:r>
      <w:bookmarkEnd w:id="8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KPI Name:</w:t>
      </w:r>
      <w:r>
        <w:rPr>
          <w:rFonts w:eastAsia="georgia" w:cs="georgia" w:ascii="georgia" w:hAnsi="georgia"/>
          <w:color w:val="000000"/>
        </w:rPr>
        <w:t xml:space="preserve"> Recommendation Follow Rate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Business Objective:</w:t>
      </w:r>
      <w:r>
        <w:rPr>
          <w:rFonts w:eastAsia="georgia" w:cs="georgia" w:ascii="georgia" w:hAnsi="georgia"/>
          <w:color w:val="000000"/>
        </w:rPr>
        <w:t xml:space="preserve"> Measure whether salespeople follow the system's suggested action instead of overriding it.[cite:1]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Decision Supported:</w:t>
      </w:r>
      <w:r>
        <w:rPr>
          <w:rFonts w:eastAsia="georgia" w:cs="georgia" w:ascii="georgia" w:hAnsi="georgia"/>
          <w:color w:val="000000"/>
        </w:rPr>
        <w:t xml:space="preserve"> Decide whether the system's output is trusted and practically relevant to the workflow.[cite:1]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KPI Type:</w:t>
      </w:r>
      <w:r>
        <w:rPr>
          <w:rFonts w:eastAsia="georgia" w:cs="georgia" w:ascii="georgia" w:hAnsi="georgia"/>
          <w:color w:val="000000"/>
        </w:rPr>
        <w:t xml:space="preserve"> Adoption KPI; trust KPI.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Definition:</w:t>
      </w:r>
      <w:r>
        <w:rPr>
          <w:rFonts w:eastAsia="georgia" w:cs="georgia" w:ascii="georgia" w:hAnsi="georgia"/>
          <w:color w:val="000000"/>
        </w:rPr>
        <w:t xml:space="preserve"> Percentage of leads where the salesperson follows the suggested action, such as call, demo, or nurture, rather than overriding it.[cite:1]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Formula:</w:t>
      </w:r>
      <w:r>
        <w:rPr>
          <w:rFonts w:eastAsia="georgia" w:cs="georgia" w:ascii="georgia" w:hAnsi="georgia"/>
          <w:color w:val="000000"/>
        </w:rPr>
        <w:t xml:space="preserve"> </w:t>
      </w:r>
      <m:oMath>
        <m:r>
          <m:rPr>
            <m:nor/>
          </m:rPr>
          <w:rPr>
            <w:color w:val="000000"/>
          </w:rPr>
          <m:t>Leads where recommended action was followed</m:t>
        </m:r>
        <m:r>
          <m:rPr>
            <m:sty m:val="p"/>
          </m:rPr>
          <w:rPr>
            <w:color w:val="000000"/>
          </w:rPr>
          <m:t>/</m:t>
        </m:r>
        <m:r>
          <m:rPr>
            <m:nor/>
          </m:rPr>
          <w:rPr>
            <w:color w:val="000000"/>
          </w:rPr>
          <m:t>Leads with a recommended action and recorded disposition</m:t>
        </m:r>
        <m:r>
          <m:rPr>
            <m:sty m:val="p"/>
          </m:rPr>
          <w:rPr>
            <w:color w:val="000000"/>
          </w:rPr>
          <m:t>×</m:t>
        </m:r>
        <m:r>
          <m:rPr>
            <m:sty m:val="p"/>
          </m:rPr>
          <w:rPr>
            <w:color w:val="000000"/>
          </w:rPr>
          <m:t>100</m:t>
        </m:r>
      </m:oMath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Numerator:</w:t>
      </w:r>
      <w:r>
        <w:rPr>
          <w:rFonts w:eastAsia="georgia" w:cs="georgia" w:ascii="georgia" w:hAnsi="georgia"/>
          <w:color w:val="000000"/>
        </w:rPr>
        <w:t xml:space="preserve"> Leads where the user followed the suggested action.[cite:1]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Denominator:</w:t>
      </w:r>
      <w:r>
        <w:rPr>
          <w:rFonts w:eastAsia="georgia" w:cs="georgia" w:ascii="georgia" w:hAnsi="georgia"/>
          <w:color w:val="000000"/>
        </w:rPr>
        <w:t xml:space="preserve"> Leads with both a recommendation and a recorded user action.[cite:1]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Unit:</w:t>
      </w:r>
      <w:r>
        <w:rPr>
          <w:rFonts w:eastAsia="georgia" w:cs="georgia" w:ascii="georgia" w:hAnsi="georgia"/>
          <w:color w:val="000000"/>
        </w:rPr>
        <w:t xml:space="preserve"> Percentage (%).[cite:1]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Primary Segment:</w:t>
      </w:r>
      <w:r>
        <w:rPr>
          <w:rFonts w:eastAsia="georgia" w:cs="georgia" w:ascii="georgia" w:hAnsi="georgia"/>
          <w:color w:val="000000"/>
        </w:rPr>
        <w:t xml:space="preserve"> Client / tenant.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Secondary Segment:</w:t>
      </w:r>
      <w:r>
        <w:rPr>
          <w:rFonts w:eastAsia="georgia" w:cs="georgia" w:ascii="georgia" w:hAnsi="georgia"/>
          <w:color w:val="000000"/>
        </w:rPr>
        <w:t xml:space="preserve"> Action type, sales team, source, and bucket.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Measurement Window:</w:t>
      </w:r>
      <w:r>
        <w:rPr>
          <w:rFonts w:eastAsia="georgia" w:cs="georgia" w:ascii="georgia" w:hAnsi="georgia"/>
          <w:color w:val="000000"/>
        </w:rPr>
        <w:t xml:space="preserve"> Rolling 30 days.[cite:1]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Baseline:</w:t>
      </w:r>
      <w:r>
        <w:rPr>
          <w:rFonts w:eastAsia="georgia" w:cs="georgia" w:ascii="georgia" w:hAnsi="georgia"/>
          <w:color w:val="000000"/>
        </w:rPr>
        <w:t xml:space="preserve"> No strict pre-system baseline; the operating benchmark is the target follow rate defined by the success metrics document.[cite:1]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Target:</w:t>
      </w:r>
      <w:r>
        <w:rPr>
          <w:rFonts w:eastAsia="georgia" w:cs="georgia" w:ascii="georgia" w:hAnsi="georgia"/>
          <w:color w:val="000000"/>
        </w:rPr>
        <w:t xml:space="preserve"> Greater than or equal to 70%.[cite:1]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Green Threshold:</w:t>
      </w:r>
      <w:r>
        <w:rPr>
          <w:rFonts w:eastAsia="georgia" w:cs="georgia" w:ascii="georgia" w:hAnsi="georgia"/>
          <w:color w:val="000000"/>
        </w:rPr>
        <w:t xml:space="preserve"> Greater than or equal to 70%.[cite:1]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Amber Threshold:</w:t>
      </w:r>
      <w:r>
        <w:rPr>
          <w:rFonts w:eastAsia="georgia" w:cs="georgia" w:ascii="georgia" w:hAnsi="georgia"/>
          <w:color w:val="000000"/>
        </w:rPr>
        <w:t xml:space="preserve"> 50% to 69.9%.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Red Threshold:</w:t>
      </w:r>
      <w:r>
        <w:rPr>
          <w:rFonts w:eastAsia="georgia" w:cs="georgia" w:ascii="georgia" w:hAnsi="georgia"/>
          <w:color w:val="000000"/>
        </w:rPr>
        <w:t xml:space="preserve"> Below 50%, which the source explicitly flags as lack of trust.[cite:1]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Owner:</w:t>
      </w:r>
      <w:r>
        <w:rPr>
          <w:rFonts w:eastAsia="georgia" w:cs="georgia" w:ascii="georgia" w:hAnsi="georgia"/>
          <w:color w:val="000000"/>
        </w:rPr>
        <w:t xml:space="preserve"> Product owner and sales enablement owner.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Data Sources:</w:t>
      </w:r>
      <w:r>
        <w:rPr>
          <w:rFonts w:eastAsia="georgia" w:cs="georgia" w:ascii="georgia" w:hAnsi="georgia"/>
          <w:color w:val="000000"/>
        </w:rPr>
        <w:t xml:space="preserve"> Recommended action output, override events, and logged user action data.[cite:1]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Refresh Frequency:</w:t>
      </w:r>
      <w:r>
        <w:rPr>
          <w:rFonts w:eastAsia="georgia" w:cs="georgia" w:ascii="georgia" w:hAnsi="georgia"/>
          <w:color w:val="000000"/>
        </w:rPr>
        <w:t xml:space="preserve"> Weekly.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Review Cadence:</w:t>
      </w:r>
      <w:r>
        <w:rPr>
          <w:rFonts w:eastAsia="georgia" w:cs="georgia" w:ascii="georgia" w:hAnsi="georgia"/>
          <w:color w:val="000000"/>
        </w:rPr>
        <w:t xml:space="preserve"> Weekly.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Action Rule:</w:t>
      </w:r>
      <w:r>
        <w:rPr>
          <w:rFonts w:eastAsia="georgia" w:cs="georgia" w:ascii="georgia" w:hAnsi="georgia"/>
          <w:color w:val="000000"/>
        </w:rPr>
        <w:t xml:space="preserve"> If red, review explanation quality, recommendation clarity, and mismatch patterns between suggested action and actual rep judgment.[cite:1]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Risks / Caveats:</w:t>
      </w:r>
      <w:r>
        <w:rPr>
          <w:rFonts w:eastAsia="georgia" w:cs="georgia" w:ascii="georgia" w:hAnsi="georgia"/>
          <w:color w:val="000000"/>
        </w:rPr>
        <w:t xml:space="preserve"> Some override is healthy, so this KPI should drive investigation rather than force blind compliance.[cite:1]</w:t>
      </w:r>
    </w:p>
    <w:p>
      <w:pPr>
        <w:spacing w:line="360" w:before="315" w:after="105" w:lineRule="auto"/>
        <w:ind w:left="-30"/>
        <w:jc w:val="left"/>
      </w:pPr>
      <w:bookmarkStart w:id="9" w:name="bm_9_output_document_open_rate"/>
      <w:r>
        <w:rPr>
          <w:rFonts w:eastAsia="georgia" w:cs="georgia" w:ascii="georgia" w:hAnsi="georgia"/>
          <w:b/>
          <w:color w:val="000000"/>
          <w:sz w:val="24"/>
        </w:rPr>
        <w:t xml:space="preserve">9) Output Document Open Rate</w:t>
      </w:r>
      <w:bookmarkEnd w:id="9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KPI Name:</w:t>
      </w:r>
      <w:r>
        <w:rPr>
          <w:rFonts w:eastAsia="georgia" w:cs="georgia" w:ascii="georgia" w:hAnsi="georgia"/>
          <w:color w:val="000000"/>
        </w:rPr>
        <w:t xml:space="preserve"> Output Document Open Rate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Business Objective:</w:t>
      </w:r>
      <w:r>
        <w:rPr>
          <w:rFonts w:eastAsia="georgia" w:cs="georgia" w:ascii="georgia" w:hAnsi="georgia"/>
          <w:color w:val="000000"/>
        </w:rPr>
        <w:t xml:space="preserve"> Measure whether the lead intelligence document is actually being consumed by the client team.[cite:1]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Decision Supported:</w:t>
      </w:r>
      <w:r>
        <w:rPr>
          <w:rFonts w:eastAsia="georgia" w:cs="georgia" w:ascii="georgia" w:hAnsi="georgia"/>
          <w:color w:val="000000"/>
        </w:rPr>
        <w:t xml:space="preserve"> Decide whether the document delivery format is working as a usable product surface.[cite:1]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KPI Type:</w:t>
      </w:r>
      <w:r>
        <w:rPr>
          <w:rFonts w:eastAsia="georgia" w:cs="georgia" w:ascii="georgia" w:hAnsi="georgia"/>
          <w:color w:val="000000"/>
        </w:rPr>
        <w:t xml:space="preserve"> Adoption KPI; engagement KPI.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Definition:</w:t>
      </w:r>
      <w:r>
        <w:rPr>
          <w:rFonts w:eastAsia="georgia" w:cs="georgia" w:ascii="georgia" w:hAnsi="georgia"/>
          <w:color w:val="000000"/>
        </w:rPr>
        <w:t xml:space="preserve"> Percentage of generated lead categorization documents that are opened or viewed by at least one team member within 24 hours of delivery.[cite:1]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Formula:</w:t>
      </w:r>
      <w:r>
        <w:rPr>
          <w:rFonts w:eastAsia="georgia" w:cs="georgia" w:ascii="georgia" w:hAnsi="georgia"/>
          <w:color w:val="000000"/>
        </w:rPr>
        <w:t xml:space="preserve"> </w:t>
      </w:r>
      <m:oMath>
        <m:r>
          <m:rPr>
            <m:nor/>
          </m:rPr>
          <w:rPr>
            <w:color w:val="000000"/>
          </w:rPr>
          <m:t>Documents opened within 24h</m:t>
        </m:r>
        <m:r>
          <m:rPr>
            <m:sty m:val="p"/>
          </m:rPr>
          <w:rPr>
            <w:color w:val="000000"/>
          </w:rPr>
          <m:t>/</m:t>
        </m:r>
        <m:r>
          <m:rPr>
            <m:nor/>
          </m:rPr>
          <w:rPr>
            <w:color w:val="000000"/>
          </w:rPr>
          <m:t>Documents delivered</m:t>
        </m:r>
        <m:r>
          <m:rPr>
            <m:sty m:val="p"/>
          </m:rPr>
          <w:rPr>
            <w:color w:val="000000"/>
          </w:rPr>
          <m:t>×</m:t>
        </m:r>
        <m:r>
          <m:rPr>
            <m:sty m:val="p"/>
          </m:rPr>
          <w:rPr>
            <w:color w:val="000000"/>
          </w:rPr>
          <m:t>100</m:t>
        </m:r>
      </m:oMath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Numerator:</w:t>
      </w:r>
      <w:r>
        <w:rPr>
          <w:rFonts w:eastAsia="georgia" w:cs="georgia" w:ascii="georgia" w:hAnsi="georgia"/>
          <w:color w:val="000000"/>
        </w:rPr>
        <w:t xml:space="preserve"> Number of generated documents opened or viewed within 24 hours.[cite:1]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Denominator:</w:t>
      </w:r>
      <w:r>
        <w:rPr>
          <w:rFonts w:eastAsia="georgia" w:cs="georgia" w:ascii="georgia" w:hAnsi="georgia"/>
          <w:color w:val="000000"/>
        </w:rPr>
        <w:t xml:space="preserve"> Total generated documents delivered.[cite:1]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Unit:</w:t>
      </w:r>
      <w:r>
        <w:rPr>
          <w:rFonts w:eastAsia="georgia" w:cs="georgia" w:ascii="georgia" w:hAnsi="georgia"/>
          <w:color w:val="000000"/>
        </w:rPr>
        <w:t xml:space="preserve"> Percentage (%).[cite:1]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Primary Segment:</w:t>
      </w:r>
      <w:r>
        <w:rPr>
          <w:rFonts w:eastAsia="georgia" w:cs="georgia" w:ascii="georgia" w:hAnsi="georgia"/>
          <w:color w:val="000000"/>
        </w:rPr>
        <w:t xml:space="preserve"> Client / tenant.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Secondary Segment:</w:t>
      </w:r>
      <w:r>
        <w:rPr>
          <w:rFonts w:eastAsia="georgia" w:cs="georgia" w:ascii="georgia" w:hAnsi="georgia"/>
          <w:color w:val="000000"/>
        </w:rPr>
        <w:t xml:space="preserve"> Delivery channel, document type, and team.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Measurement Window:</w:t>
      </w:r>
      <w:r>
        <w:rPr>
          <w:rFonts w:eastAsia="georgia" w:cs="georgia" w:ascii="georgia" w:hAnsi="georgia"/>
          <w:color w:val="000000"/>
        </w:rPr>
        <w:t xml:space="preserve"> Daily and rolling 7 days.[cite:1]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Baseline:</w:t>
      </w:r>
      <w:r>
        <w:rPr>
          <w:rFonts w:eastAsia="georgia" w:cs="georgia" w:ascii="georgia" w:hAnsi="georgia"/>
          <w:color w:val="000000"/>
        </w:rPr>
        <w:t xml:space="preserve"> Pre-system equivalent does not usually exist; the operating benchmark is the target defined in the success metrics document.[cite:1]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Target:</w:t>
      </w:r>
      <w:r>
        <w:rPr>
          <w:rFonts w:eastAsia="georgia" w:cs="georgia" w:ascii="georgia" w:hAnsi="georgia"/>
          <w:color w:val="000000"/>
        </w:rPr>
        <w:t xml:space="preserve"> Greater than or equal to 80%.[cite:1]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Green Threshold:</w:t>
      </w:r>
      <w:r>
        <w:rPr>
          <w:rFonts w:eastAsia="georgia" w:cs="georgia" w:ascii="georgia" w:hAnsi="georgia"/>
          <w:color w:val="000000"/>
        </w:rPr>
        <w:t xml:space="preserve"> Greater than or equal to 80%.[cite:1]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Amber Threshold:</w:t>
      </w:r>
      <w:r>
        <w:rPr>
          <w:rFonts w:eastAsia="georgia" w:cs="georgia" w:ascii="georgia" w:hAnsi="georgia"/>
          <w:color w:val="000000"/>
        </w:rPr>
        <w:t xml:space="preserve"> 60% to 79.9%.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Red Threshold:</w:t>
      </w:r>
      <w:r>
        <w:rPr>
          <w:rFonts w:eastAsia="georgia" w:cs="georgia" w:ascii="georgia" w:hAnsi="georgia"/>
          <w:color w:val="000000"/>
        </w:rPr>
        <w:t xml:space="preserve"> Below 60%.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Owner:</w:t>
      </w:r>
      <w:r>
        <w:rPr>
          <w:rFonts w:eastAsia="georgia" w:cs="georgia" w:ascii="georgia" w:hAnsi="georgia"/>
          <w:color w:val="000000"/>
        </w:rPr>
        <w:t xml:space="preserve"> Product owner.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Data Sources:</w:t>
      </w:r>
      <w:r>
        <w:rPr>
          <w:rFonts w:eastAsia="georgia" w:cs="georgia" w:ascii="georgia" w:hAnsi="georgia"/>
          <w:color w:val="000000"/>
        </w:rPr>
        <w:t xml:space="preserve"> Document generation events, delivery events, and document view/open telemetry.[cite:1]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Refresh Frequency:</w:t>
      </w:r>
      <w:r>
        <w:rPr>
          <w:rFonts w:eastAsia="georgia" w:cs="georgia" w:ascii="georgia" w:hAnsi="georgia"/>
          <w:color w:val="000000"/>
        </w:rPr>
        <w:t xml:space="preserve"> Daily.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Review Cadence:</w:t>
      </w:r>
      <w:r>
        <w:rPr>
          <w:rFonts w:eastAsia="georgia" w:cs="georgia" w:ascii="georgia" w:hAnsi="georgia"/>
          <w:color w:val="000000"/>
        </w:rPr>
        <w:t xml:space="preserve"> Weekly.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Action Rule:</w:t>
      </w:r>
      <w:r>
        <w:rPr>
          <w:rFonts w:eastAsia="georgia" w:cs="georgia" w:ascii="georgia" w:hAnsi="georgia"/>
          <w:color w:val="000000"/>
        </w:rPr>
        <w:t xml:space="preserve"> If red, inspect document timing, distribution channel, subject line, formatting, and whether users already rely on notifications instead of documents.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Risks / Caveats:</w:t>
      </w:r>
      <w:r>
        <w:rPr>
          <w:rFonts w:eastAsia="georgia" w:cs="georgia" w:ascii="georgia" w:hAnsi="georgia"/>
          <w:color w:val="000000"/>
        </w:rPr>
        <w:t xml:space="preserve"> Open rate alone does not prove comprehension or action, so it should be interpreted together with notification response and recommendation follow rate.[cite:1]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2026-04-15T20:02:25.181Z</dcterms:created>
  <dcterms:modified xsi:type="dcterms:W3CDTF">2026-04-15T20:02:25.181Z</dcterms:modified>
</cp:coreProperties>
</file>