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ind w:left="504"/>
      </w:pPr>
      <w:r>
        <w:rPr>
          <w:rFonts w:ascii="Calibri" w:hAnsi="Calibri" w:cs="Calibri"/>
          <w:b w:val="0"/>
          <w:i w:val="0"/>
          <w:color w:val="000000"/>
          <w:sz w:val="22"/>
          <w:u w:val="none"/>
        </w:rPr>
        <w:t>## 1. Purpose To prevent injury from unexpected equipment start-up during maintenance by requiring that all energy sources be isolated and locked before work begins.</w:t>
      </w:r>
    </w:p>
    <w:p>
      <w:pPr>
        <w:spacing w:after="120"/>
        <w:ind w:left="504"/>
      </w:pPr>
      <w:r>
        <w:rPr>
          <w:rFonts w:ascii="Calibri" w:hAnsi="Calibri" w:cs="Calibri"/>
          <w:b w:val="0"/>
          <w:i w:val="0"/>
          <w:color w:val="000000"/>
          <w:sz w:val="22"/>
          <w:u w:val="none"/>
        </w:rPr>
        <w:t>## 2. Scope Applies to all maintenance work on server room cooling units, UPS systems, and networking hardware racks at any Netramind facility.</w:t>
      </w:r>
    </w:p>
    <w:p>
      <w:pPr>
        <w:spacing w:after="120"/>
        <w:ind w:left="504"/>
      </w:pPr>
      <w:r>
        <w:rPr>
          <w:rFonts w:ascii="Calibri" w:hAnsi="Calibri" w:cs="Calibri"/>
          <w:b w:val="0"/>
          <w:i w:val="0"/>
          <w:color w:val="000000"/>
          <w:sz w:val="22"/>
          <w:u w:val="none"/>
        </w:rPr>
        <w:t>## 3. Responsibilities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Facilities lead: maintains the lock/tag inventory and trains staff.</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Technician performing the work: applies and removes their own lock and tag.</w:t>
      </w:r>
    </w:p>
    <w:p>
      <w:pPr>
        <w:spacing w:after="120"/>
        <w:ind w:left="504"/>
      </w:pPr>
      <w:r>
        <w:rPr>
          <w:rFonts w:ascii="Calibri" w:hAnsi="Calibri" w:cs="Calibri"/>
          <w:b w:val="0"/>
          <w:i w:val="0"/>
          <w:color w:val="000000"/>
          <w:sz w:val="22"/>
          <w:u w:val="none"/>
        </w:rPr>
        <w:t>## 4. Procedure 1. Notify affected staff that equipment will be shut down. 2. Shut down the equipment using its normal stopping procedure. 3. Isolate the energy source (disconnect switch, breaker, or valve). 4. Apply a personal lock and a tag stating your name, date, and reason. 5. Verify isolation by attempting a normal start-up — it must not start. 6. Perform the maintenance work. 7. Remove your own lock and tag only after confirming the area is clear. 8. Restore power and confirm normal operation.</w:t>
      </w:r>
    </w:p>
    <w:p>
      <w:pPr>
        <w:spacing w:after="120"/>
        <w:ind w:left="504"/>
      </w:pPr>
      <w:r>
        <w:rPr>
          <w:rFonts w:ascii="Calibri" w:hAnsi="Calibri" w:cs="Calibri"/>
          <w:b w:val="0"/>
          <w:i w:val="0"/>
          <w:color w:val="000000"/>
          <w:sz w:val="22"/>
          <w:u w:val="none"/>
        </w:rPr>
        <w:t>## 5. 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OSHA 1910.147 — The Control of Hazardous Energy (Lockout/Tagout)</w:t>
      </w:r>
    </w:p>
    <w:p>
      <w:pPr>
        <w:spacing w:after="120"/>
        <w:ind w:left="504"/>
      </w:pPr>
      <w:r>
        <w:rPr>
          <w:rFonts w:ascii="Calibri" w:hAnsi="Calibri" w:cs="Calibri"/>
          <w:b w:val="0"/>
          <w:i w:val="0"/>
          <w:color w:val="000000"/>
          <w:sz w:val="22"/>
          <w:u w:val="none"/>
        </w:rPr>
        <w:t>## 6. Revision History | Version | Date | Change | |---|---|---| | 1.0 | 2025-11-03 | Initial release |</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NM-QA-SAF-001-v1.0</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[On approval]</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Lockout/Tagout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