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SOP DESCRIBES THE PROCESS FOR REPORTING, TRACKING, AND RESOLVING SYSTEM-RELATED INCIDENTS ASSOCIATED WITH COMPUTERIZED SYSTEMS USED IN GXP ACTIVITIES AT NETRAMIND.</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all computer systems and infrastructure components developed and supported by Netramind. All employees, contractors, and contract service providers (CSP) implementing or using computerized systems are also included in this scope.</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spacing w:after="120"/>
        <w:ind w:left="504"/>
      </w:pPr>
      <w:r>
        <w:rPr>
          <w:rFonts w:ascii="Calibri" w:hAnsi="Calibri" w:cs="Calibri"/>
          <w:b w:val="0"/>
          <w:i w:val="0"/>
          <w:color w:val="000000"/>
          <w:sz w:val="22"/>
          <w:u w:val="none"/>
        </w:rPr>
        <w:t>FDA 21 CFR (Code of Federal Regulations) PART 11 Electronic Records; Electronic Signatures</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Build</w:t>
      </w:r>
      <w:r>
        <w:rPr>
          <w:rFonts w:ascii="Calibri" w:hAnsi="Calibri" w:cs="Calibri"/>
          <w:b w:val="0"/>
          <w:i w:val="0"/>
          <w:color w:val="000000"/>
          <w:sz w:val="22"/>
          <w:u w:val="none"/>
        </w:rPr>
        <w:t xml:space="preserve"> — </w:t>
      </w:r>
      <w:r>
        <w:rPr>
          <w:rFonts w:ascii="Calibri" w:hAnsi="Calibri" w:cs="Calibri"/>
          <w:b w:val="0"/>
          <w:i w:val="0"/>
          <w:color w:val="000000"/>
          <w:sz w:val="22"/>
          <w:u w:val="none"/>
        </w:rPr>
        <w:t>Refers to the process of converting individual source files into a software artifact that can run alone or part of the whole system.</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Incident(s)</w:t>
      </w:r>
      <w:r>
        <w:rPr>
          <w:rFonts w:ascii="Calibri" w:hAnsi="Calibri" w:cs="Calibri"/>
          <w:b w:val="0"/>
          <w:i w:val="0"/>
          <w:color w:val="000000"/>
          <w:sz w:val="22"/>
          <w:u w:val="none"/>
        </w:rPr>
        <w:t xml:space="preserve"> — </w:t>
      </w:r>
      <w:r>
        <w:rPr>
          <w:rFonts w:ascii="Calibri" w:hAnsi="Calibri" w:cs="Calibri"/>
          <w:b w:val="0"/>
          <w:i w:val="0"/>
          <w:color w:val="000000"/>
          <w:sz w:val="22"/>
          <w:u w:val="none"/>
        </w:rPr>
        <w:t>Any unexpected issue, error, or failure in a system or process.</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Incident Report (IR)</w:t>
      </w:r>
      <w:r>
        <w:rPr>
          <w:rFonts w:ascii="Calibri" w:hAnsi="Calibri" w:cs="Calibri"/>
          <w:b w:val="0"/>
          <w:i w:val="0"/>
          <w:color w:val="000000"/>
          <w:sz w:val="22"/>
          <w:u w:val="none"/>
        </w:rPr>
        <w:t xml:space="preserve"> — </w:t>
      </w:r>
      <w:r>
        <w:rPr>
          <w:rFonts w:ascii="Calibri" w:hAnsi="Calibri" w:cs="Calibri"/>
          <w:b w:val="0"/>
          <w:i w:val="0"/>
          <w:color w:val="000000"/>
          <w:sz w:val="22"/>
          <w:u w:val="none"/>
        </w:rPr>
        <w:t>An official report of an identified incident found in the computerized system.</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Release Version</w:t>
      </w:r>
      <w:r>
        <w:rPr>
          <w:rFonts w:ascii="Calibri" w:hAnsi="Calibri" w:cs="Calibri"/>
          <w:b w:val="0"/>
          <w:i w:val="0"/>
          <w:color w:val="000000"/>
          <w:sz w:val="22"/>
          <w:u w:val="none"/>
        </w:rPr>
        <w:t xml:space="preserve"> — </w:t>
      </w:r>
      <w:r>
        <w:rPr>
          <w:rFonts w:ascii="Calibri" w:hAnsi="Calibri" w:cs="Calibri"/>
          <w:b w:val="0"/>
          <w:i w:val="0"/>
          <w:color w:val="000000"/>
          <w:sz w:val="22"/>
          <w:u w:val="none"/>
        </w:rPr>
        <w:t>The version label to be used to identify the build of code, which will be released for use. Release Version numbers are used for grouping requirements and incidents for planning and communication purposes.</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Severity</w:t>
      </w:r>
      <w:r>
        <w:rPr>
          <w:rFonts w:ascii="Calibri" w:hAnsi="Calibri" w:cs="Calibri"/>
          <w:b w:val="0"/>
          <w:i w:val="0"/>
          <w:color w:val="000000"/>
          <w:sz w:val="22"/>
          <w:u w:val="none"/>
        </w:rPr>
        <w:t xml:space="preserve"> — </w:t>
      </w:r>
      <w:r>
        <w:rPr>
          <w:rFonts w:ascii="Calibri" w:hAnsi="Calibri" w:cs="Calibri"/>
          <w:b w:val="0"/>
          <w:i w:val="0"/>
          <w:color w:val="000000"/>
          <w:sz w:val="22"/>
          <w:u w:val="none"/>
        </w:rPr>
        <w:t>Severity may be used to indicate the relative impact or urgency of an incident.</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Software Development Lifecycle (SDLC)</w:t>
      </w:r>
      <w:r>
        <w:rPr>
          <w:rFonts w:ascii="Calibri" w:hAnsi="Calibri" w:cs="Calibri"/>
          <w:b w:val="0"/>
          <w:i w:val="0"/>
          <w:color w:val="000000"/>
          <w:sz w:val="22"/>
          <w:u w:val="none"/>
        </w:rPr>
        <w:t xml:space="preserve"> — </w:t>
      </w:r>
      <w:r>
        <w:rPr>
          <w:rFonts w:ascii="Calibri" w:hAnsi="Calibri" w:cs="Calibri"/>
          <w:b w:val="0"/>
          <w:i w:val="0"/>
          <w:color w:val="000000"/>
          <w:sz w:val="22"/>
          <w:u w:val="none"/>
        </w:rPr>
        <w:t>The model that defines the phases and procedures for the process of defining, developing, testing, maintaining, and retiring systems. Several phases exist in the SDLC, which support successful software development and maintenance. The phases are definition, development, validation, and production/maintenance.</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Status</w:t>
      </w:r>
      <w:r>
        <w:rPr>
          <w:rFonts w:ascii="Calibri" w:hAnsi="Calibri" w:cs="Calibri"/>
          <w:b w:val="0"/>
          <w:i w:val="0"/>
          <w:color w:val="000000"/>
          <w:sz w:val="22"/>
          <w:u w:val="none"/>
        </w:rPr>
        <w:t xml:space="preserve"> — </w:t>
      </w:r>
      <w:r>
        <w:rPr>
          <w:rFonts w:ascii="Calibri" w:hAnsi="Calibri" w:cs="Calibri"/>
          <w:b w:val="0"/>
          <w:i w:val="0"/>
          <w:color w:val="000000"/>
          <w:sz w:val="22"/>
          <w:u w:val="none"/>
        </w:rPr>
        <w:t>There are eight possible statuses used to track an IRs current status.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Assigned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Closed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Completed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 Review</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 Test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Open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Parked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Rejected</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Process Owner</w:t>
      </w:r>
      <w:r>
        <w:rPr>
          <w:rFonts w:ascii="Calibri" w:hAnsi="Calibri" w:cs="Calibri"/>
          <w:b w:val="0"/>
          <w:i w:val="0"/>
          <w:color w:val="000000"/>
          <w:sz w:val="22"/>
          <w:u w:val="none"/>
        </w:rPr>
        <w:t xml:space="preserve"> — </w:t>
      </w:r>
      <w:r>
        <w:rPr>
          <w:rFonts w:ascii="Calibri" w:hAnsi="Calibri" w:cs="Calibri"/>
          <w:b w:val="0"/>
          <w:i w:val="0"/>
          <w:color w:val="000000"/>
          <w:sz w:val="22"/>
          <w:u w:val="none"/>
        </w:rPr>
        <w:t>Individual who has the functional responsibility for the system; for providing the data or function that the computerized system addresses, known as user requirements. It is possible that different parts of a complex integrated system would have multiple Process Owners.</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User</w:t>
      </w:r>
      <w:r>
        <w:rPr>
          <w:rFonts w:ascii="Calibri" w:hAnsi="Calibri" w:cs="Calibri"/>
          <w:b w:val="0"/>
          <w:i w:val="0"/>
          <w:color w:val="000000"/>
          <w:sz w:val="22"/>
          <w:u w:val="none"/>
        </w:rPr>
        <w:t xml:space="preserve"> — </w:t>
      </w:r>
      <w:r>
        <w:rPr>
          <w:rFonts w:ascii="Calibri" w:hAnsi="Calibri" w:cs="Calibri"/>
          <w:b w:val="0"/>
          <w:i w:val="0"/>
          <w:color w:val="000000"/>
          <w:sz w:val="22"/>
          <w:u w:val="none"/>
        </w:rPr>
        <w:t>Netramind employees, consultants, and contract employees who access the systems and applications. 4.10Validation—Establishing documented evidence that provides a high degree of assurance that a specific computerized system will consistently operate in accordance with pre-determined specifications and continues to operate as specified throughout its system lifecycle.</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The System Owner – Investigates and resolves the incident</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Quality Assurance – Ensures incidents are documented and tracked</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Reporter – Identifies and documents the incident</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IR Identification and Review</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Incidents are documented within TMP-008-01 Incident Log, with a minimum of the following:</w:t>
      </w:r>
    </w:p>
    <w:p>
      <w:pPr>
        <w:tabs>
          <w:tab w:pos="2448" w:val="left"/>
        </w:tabs>
        <w:spacing w:after="80"/>
        <w:ind w:left="2448" w:hanging="576"/>
      </w:pPr>
      <w:r>
        <w:rPr>
          <w:rFonts w:ascii="Calibri" w:hAnsi="Calibri" w:cs="Calibri"/>
          <w:b w:val="0"/>
          <w:i w:val="0"/>
          <w:color w:val="000000"/>
          <w:sz w:val="22"/>
          <w:u w:val="none"/>
        </w:rPr>
        <w:t>6.1.1.1</w:t>
        <w:tab/>
      </w:r>
      <w:r>
        <w:rPr>
          <w:rFonts w:ascii="Calibri" w:hAnsi="Calibri" w:cs="Calibri"/>
          <w:b w:val="0"/>
          <w:i w:val="0"/>
          <w:color w:val="000000"/>
          <w:sz w:val="22"/>
          <w:u w:val="none"/>
        </w:rPr>
        <w:t>Description of the issue</w:t>
      </w:r>
    </w:p>
    <w:p>
      <w:pPr>
        <w:tabs>
          <w:tab w:pos="2448" w:val="left"/>
        </w:tabs>
        <w:spacing w:after="80"/>
        <w:ind w:left="2448" w:hanging="576"/>
      </w:pPr>
      <w:r>
        <w:rPr>
          <w:rFonts w:ascii="Calibri" w:hAnsi="Calibri" w:cs="Calibri"/>
          <w:b w:val="0"/>
          <w:i w:val="0"/>
          <w:color w:val="000000"/>
          <w:sz w:val="22"/>
          <w:u w:val="none"/>
        </w:rPr>
        <w:t>6.1.1.2</w:t>
        <w:tab/>
      </w:r>
      <w:r>
        <w:rPr>
          <w:rFonts w:ascii="Calibri" w:hAnsi="Calibri" w:cs="Calibri"/>
          <w:b w:val="0"/>
          <w:i w:val="0"/>
          <w:color w:val="000000"/>
          <w:sz w:val="22"/>
          <w:u w:val="none"/>
        </w:rPr>
        <w:t>Affected system</w:t>
      </w:r>
    </w:p>
    <w:p>
      <w:pPr>
        <w:tabs>
          <w:tab w:pos="2448" w:val="left"/>
        </w:tabs>
        <w:spacing w:after="80"/>
        <w:ind w:left="2448" w:hanging="576"/>
      </w:pPr>
      <w:r>
        <w:rPr>
          <w:rFonts w:ascii="Calibri" w:hAnsi="Calibri" w:cs="Calibri"/>
          <w:b w:val="0"/>
          <w:i w:val="0"/>
          <w:color w:val="000000"/>
          <w:sz w:val="22"/>
          <w:u w:val="none"/>
        </w:rPr>
        <w:t>6.1.1.3</w:t>
        <w:tab/>
      </w:r>
      <w:r>
        <w:rPr>
          <w:rFonts w:ascii="Calibri" w:hAnsi="Calibri" w:cs="Calibri"/>
          <w:b w:val="0"/>
          <w:i w:val="0"/>
          <w:color w:val="000000"/>
          <w:sz w:val="22"/>
          <w:u w:val="none"/>
        </w:rPr>
        <w:t>Date identified</w:t>
      </w:r>
    </w:p>
    <w:p>
      <w:pPr>
        <w:tabs>
          <w:tab w:pos="2448" w:val="left"/>
        </w:tabs>
        <w:spacing w:after="80"/>
        <w:ind w:left="2448" w:hanging="576"/>
      </w:pPr>
      <w:r>
        <w:rPr>
          <w:rFonts w:ascii="Calibri" w:hAnsi="Calibri" w:cs="Calibri"/>
          <w:b w:val="0"/>
          <w:i w:val="0"/>
          <w:color w:val="000000"/>
          <w:sz w:val="22"/>
          <w:u w:val="none"/>
        </w:rPr>
        <w:t>6.1.1.4</w:t>
        <w:tab/>
      </w:r>
      <w:r>
        <w:rPr>
          <w:rFonts w:ascii="Calibri" w:hAnsi="Calibri" w:cs="Calibri"/>
          <w:b w:val="0"/>
          <w:i w:val="0"/>
          <w:color w:val="000000"/>
          <w:sz w:val="22"/>
          <w:u w:val="none"/>
        </w:rPr>
        <w:t>Status</w:t>
      </w:r>
    </w:p>
    <w:p>
      <w:pPr>
        <w:tabs>
          <w:tab w:pos="2448" w:val="left"/>
        </w:tabs>
        <w:spacing w:after="80"/>
        <w:ind w:left="2448" w:hanging="576"/>
      </w:pPr>
      <w:r>
        <w:rPr>
          <w:rFonts w:ascii="Calibri" w:hAnsi="Calibri" w:cs="Calibri"/>
          <w:b w:val="0"/>
          <w:i w:val="0"/>
          <w:color w:val="000000"/>
          <w:sz w:val="22"/>
          <w:u w:val="none"/>
        </w:rPr>
        <w:t>6.1.1.5</w:t>
        <w:tab/>
      </w:r>
      <w:r>
        <w:rPr>
          <w:rFonts w:ascii="Calibri" w:hAnsi="Calibri" w:cs="Calibri"/>
          <w:b w:val="0"/>
          <w:i w:val="0"/>
          <w:color w:val="000000"/>
          <w:sz w:val="22"/>
          <w:u w:val="none"/>
        </w:rPr>
        <w:t>Severity or priority (if applicable)</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Notification &amp; Retention</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Relevant stakeholders are notified of incident status as appropriate.</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Incident records are maintained in a controlled location in accordance with records retention requirements.</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Metrics &amp; Statistics</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Incidents may be periodically reviewed to identify trends.</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TMP-008-01 Incident Log • •</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01-MAY-2026 New Document [X.0] [DD-MMM-YYYY] [Insert a summary of the changes] SIGNATURE PAGE [ADD ADDITIONAL ROWS AS NEEDED] Author: NAME TITLE SIGNATURE DATE Justin Shaka Fractional COO 01-MAY-2026 Reviewer: NAME TITLE SIGNATURE DATE [DD-MMM- [Reviewer Name] [Title] YYYY] Approver: NAME TITLE SIGNATURE DATE [DD-MMM- [Approver Name] [Title] YYYY]</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SOP-008</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Incident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