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the process for conducting internal audits to assess compliance with Netramind’s internal policies, procedures and applicable regulatory requirements.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all Netramind personnel, contractors and consultants conducting GxP activities relevant to Netramind operations (e.g., clinical data analysis and software systems). Netramind may delegate some or all the tasks described in this procedure to a contract service provider (CSP) if Netramind has determined the CSP’s SOPs are acceptable for use. However, Netramind retains responsibility for those delegated tasks. This procedure does not apply to external audits (e.g., CSP, investigative sites audits), document audits (e.g., clinical study report audits) which are described in SOP-ABC-123 CSP Audit, SOP- ABC-123 Investigator Site Audit and SOP-ABC-123 CSR Audit.</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ICH E6 – Guideline for Good Clinical Practice (GCP)</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ICH Q7 – Good Manufacturing Practice Guide for Active Pharmaceutical Ingredients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ISO 19011:2011: Guidelines for Auditing Management Systems</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Audit Observation Classification 4.1.1.Critical</w:t>
      </w:r>
      <w:r>
        <w:rPr>
          <w:rFonts w:ascii="Calibri" w:hAnsi="Calibri" w:cs="Calibri"/>
          <w:b w:val="0"/>
          <w:i w:val="0"/>
          <w:color w:val="000000"/>
          <w:sz w:val="22"/>
          <w:u w:val="none"/>
        </w:rPr>
        <w:t xml:space="preserve"> — </w:t>
      </w:r>
      <w:r>
        <w:rPr>
          <w:rFonts w:ascii="Calibri" w:hAnsi="Calibri" w:cs="Calibri"/>
          <w:b w:val="0"/>
          <w:i w:val="0"/>
          <w:color w:val="000000"/>
          <w:sz w:val="22"/>
          <w:u w:val="none"/>
        </w:rPr>
        <w:t>An observation that finds a practice, system, or event to be absent, in failure, or consistently out of compliance with key controls, GCP, and/or Netramind quality requirements. A combination of Major observations that indicate a serious system failure may also be classified as a Critical observation. 4.1.2.Major—An observation that finds a practice, system, or event to be absent, in failure, or consistently out of compliance with major controls, GCP, and/or Netramind quality requirements. A combination of Minor audit observations that indicate a considerable system failure may be classified as a Major observation. 4.1.3.Minor—An observation that finds a practice, system, or condition to be out of compliance with GxP and/or Netramind quality requirements, which may have an acceptable impact to internal processes with respect to Netramind products/ services/ studies but warrants remediation. 4.1.4.Recommendation—An observation of a system that could be optimized but does not violate a regulation. Netramind does not require CSPs to address recommendations, but they are encouraged to include any recommendations they intend to implement in their audit response. A recommendation or an identified opportunity for improvement based on industry standard practices and current trends.</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Corrective and Preventive Action (CAPA)</w:t>
      </w:r>
      <w:r>
        <w:rPr>
          <w:rFonts w:ascii="Calibri" w:hAnsi="Calibri" w:cs="Calibri"/>
          <w:b w:val="0"/>
          <w:i w:val="0"/>
          <w:color w:val="000000"/>
          <w:sz w:val="22"/>
          <w:u w:val="none"/>
        </w:rPr>
        <w:t xml:space="preserve"> — </w:t>
      </w:r>
      <w:r>
        <w:rPr>
          <w:rFonts w:ascii="Calibri" w:hAnsi="Calibri" w:cs="Calibri"/>
          <w:b w:val="0"/>
          <w:i w:val="0"/>
          <w:color w:val="000000"/>
          <w:sz w:val="22"/>
          <w:u w:val="none"/>
        </w:rPr>
        <w:t>A systematic approach that includes actions needed to correct (“correction”), prevent recurrence (“corrective action”), and eliminate the cause of potential nonconforming product and other quality problems (preventive action).</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Quality Assurance (QA) – plans, conducts, and tracks internal audits</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Auditor – plans, conducts, and tracks internal audits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Functional Area Management – supports audits and implements any required actions</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Internal Audit Strategy and Preparation 6.1.1.QA plans internal audits based on business needs, risk areas, and prior observations. Audits may be conducted periodically or as needed.</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Conducting the Internal Audit 6.2.1.The auditor defines the scope of the audit and reviews relevant processes and documentation to assess compliance with internal procedures. 6.2.2.Relevant information may be reviewed in advance where practical.</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Audit Communication and Escalation 6.3.1.Significant issues are communicated to appropriate management in a timely manner.</w:t>
      </w:r>
    </w:p>
    <w:p>
      <w:pPr>
        <w:tabs>
          <w:tab w:pos="2448" w:val="left"/>
        </w:tabs>
        <w:spacing w:after="80"/>
        <w:ind w:left="2448" w:hanging="576"/>
      </w:pPr>
      <w:r>
        <w:rPr>
          <w:rFonts w:ascii="Calibri" w:hAnsi="Calibri" w:cs="Calibri"/>
          <w:b w:val="0"/>
          <w:i w:val="0"/>
          <w:color w:val="000000"/>
          <w:sz w:val="22"/>
          <w:u w:val="none"/>
        </w:rPr>
        <w:t>6.3.1.1</w:t>
        <w:tab/>
      </w:r>
      <w:r>
        <w:rPr>
          <w:rFonts w:ascii="Calibri" w:hAnsi="Calibri" w:cs="Calibri"/>
          <w:b w:val="0"/>
          <w:i w:val="0"/>
          <w:color w:val="000000"/>
          <w:sz w:val="22"/>
          <w:u w:val="none"/>
        </w:rPr>
        <w:t>Observations may be categorized based on impact (e.g., critical, major, minor) to support prioritization of actions.</w:t>
      </w:r>
    </w:p>
    <w:p>
      <w:pPr>
        <w:tabs>
          <w:tab w:pos="2448" w:val="left"/>
        </w:tabs>
        <w:spacing w:after="80"/>
        <w:ind w:left="2448" w:hanging="576"/>
      </w:pPr>
      <w:r>
        <w:rPr>
          <w:rFonts w:ascii="Calibri" w:hAnsi="Calibri" w:cs="Calibri"/>
          <w:b w:val="0"/>
          <w:i w:val="0"/>
          <w:color w:val="000000"/>
          <w:sz w:val="22"/>
          <w:u w:val="none"/>
        </w:rPr>
        <w:t>6.3.1.2</w:t>
        <w:tab/>
      </w:r>
      <w:r>
        <w:rPr>
          <w:rFonts w:ascii="Calibri" w:hAnsi="Calibri" w:cs="Calibri"/>
          <w:b w:val="0"/>
          <w:i w:val="0"/>
          <w:color w:val="000000"/>
          <w:sz w:val="22"/>
          <w:u w:val="none"/>
        </w:rPr>
        <w:t>Functional Area Management shares the appropriate course of action and timelines for completion with personnel and ensures follow-up and resolution.</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Audit Report Development and Distribution 6.4.1.Audit results are documented in a controlled record or audit log and shared with relevant personnel. Observations and recommended actions are included.</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Internal Audit Response and Follow Up 6.5.1.Functional areas review audit observations and implement appropriate actions. 6.5.2.Where necessary, deviations or CAPAs may be initiated.</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Internal Audit Closure 6.6.1.Audits are considered closed once responses and actions are completed.</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Internal Audit Documentation and Archival 6.7.1.Audit records are maintained in a controlled location in accordance with records retention requirements.</w:t>
      </w:r>
    </w:p>
    <w:p>
      <w:pPr>
        <w:tabs>
          <w:tab w:pos="1296" w:val="left"/>
        </w:tabs>
        <w:spacing w:after="80"/>
        <w:ind w:left="1296" w:hanging="576"/>
      </w:pPr>
      <w:r>
        <w:rPr>
          <w:rFonts w:ascii="Calibri" w:hAnsi="Calibri" w:cs="Calibri"/>
          <w:b w:val="0"/>
          <w:i w:val="0"/>
          <w:color w:val="000000"/>
          <w:sz w:val="22"/>
          <w:u w:val="none"/>
        </w:rPr>
        <w:t>6.8</w:t>
        <w:tab/>
      </w:r>
      <w:r>
        <w:rPr>
          <w:rFonts w:ascii="Calibri" w:hAnsi="Calibri" w:cs="Calibri"/>
          <w:b w:val="0"/>
          <w:i w:val="0"/>
          <w:color w:val="000000"/>
          <w:sz w:val="22"/>
          <w:u w:val="none"/>
        </w:rPr>
        <w:t>For-Cause Internal Systems Audit</w:t>
      </w:r>
    </w:p>
    <w:p>
      <w:pPr>
        <w:tabs>
          <w:tab w:pos="1872" w:val="left"/>
        </w:tabs>
        <w:spacing w:after="80"/>
        <w:ind w:left="1872" w:hanging="576"/>
      </w:pPr>
      <w:r>
        <w:rPr>
          <w:rFonts w:ascii="Calibri" w:hAnsi="Calibri" w:cs="Calibri"/>
          <w:b w:val="0"/>
          <w:i w:val="0"/>
          <w:color w:val="000000"/>
          <w:sz w:val="22"/>
          <w:u w:val="none"/>
        </w:rPr>
        <w:t>6.8.1</w:t>
        <w:tab/>
      </w:r>
      <w:r>
        <w:rPr>
          <w:rFonts w:ascii="Calibri" w:hAnsi="Calibri" w:cs="Calibri"/>
          <w:b w:val="0"/>
          <w:i w:val="0"/>
          <w:color w:val="000000"/>
          <w:sz w:val="22"/>
          <w:u w:val="none"/>
        </w:rPr>
        <w:t>For-cause audits may be conducted when significant issues are identified.</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N/A</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AUTHOR NAME TITLE SIGNATURE DATE JUSTIN SHAKA FRACTIONAL COO 01-MAY-2026 REVIEWER NAME TITLE SIGNATURE DATE APPROVER NAME TITLE SIGNATURE DATE</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SOP-009</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Internal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