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Standard Operating Procedure (SOP) describes the process for periodic reviews of IT processes to ensure that the computer systems are compliant with regulations, are fit for its intended use and satisfies company policies and procedures.</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procedure applies to periodic reviews of computerized systems and related IT processes supporting GxP-regulated activities where periodic review is determined to be appropriate based on system risk, complexity, and intended use.</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SOP-016 Data Integrity</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SOP-017 Audit Trail Review</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SOP-019 User Access Management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SOP-010 Software Lifecycle Development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SOP-004 GxP Records Retention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SOP-024 Business Continuity Planning</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SOP-023 IT Disaster Recovery</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SOP-006 Deviation Management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SOP-007 CAPA Management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GAMP 5 A Risk-Based Approach to Complaint GxP Computerized Systems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European Medicines Agency (EMA): EudraLex Volume 4, Part 1: Basic Requirements for Medicinal Products; Annex 11: Computerized Systems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European Medicines Agency (EMA): Guideline on computerized systems and electronic data in clinical trials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Food and Drug Administration (FDA): 21 CFR Part 11; 21 CFR parts 210 and 211 and 820</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Conference on Harmonization (ICH) Q7: Good Manufacturing Practice Guide for Active Pharmaceutical Ingredients; November 2000</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Conference on Harmonization (ICH) E6 (R3) Good Clinical Practice</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Audit Trail</w:t>
      </w:r>
      <w:r>
        <w:rPr>
          <w:rFonts w:ascii="Calibri" w:hAnsi="Calibri" w:cs="Calibri"/>
          <w:b w:val="0"/>
          <w:i w:val="0"/>
          <w:color w:val="000000"/>
          <w:sz w:val="22"/>
          <w:u w:val="none"/>
        </w:rPr>
        <w:t xml:space="preserve"> — </w:t>
      </w:r>
      <w:r>
        <w:rPr>
          <w:rFonts w:ascii="Calibri" w:hAnsi="Calibri" w:cs="Calibri"/>
          <w:b w:val="0"/>
          <w:i w:val="0"/>
          <w:color w:val="000000"/>
          <w:sz w:val="22"/>
          <w:u w:val="none"/>
        </w:rPr>
        <w:t>Metadata records that allow the appropriate evaluation of the course of events by capturing details on actions (manual or automated) performed relating to information and data collection and, where applicable, to activities in computerized systems. The audit trail should show activities, initial entry and changes to data fields or records, by whom, when and, where applicable, why. In computerized systems, the audit trail should be secure, computer-generated and time stamped.</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Business Process</w:t>
      </w:r>
      <w:r>
        <w:rPr>
          <w:rFonts w:ascii="Calibri" w:hAnsi="Calibri" w:cs="Calibri"/>
          <w:b w:val="0"/>
          <w:i w:val="0"/>
          <w:color w:val="000000"/>
          <w:sz w:val="22"/>
          <w:u w:val="none"/>
        </w:rPr>
        <w:t xml:space="preserve"> — </w:t>
      </w:r>
      <w:r>
        <w:rPr>
          <w:rFonts w:ascii="Calibri" w:hAnsi="Calibri" w:cs="Calibri"/>
          <w:b w:val="0"/>
          <w:i w:val="0"/>
          <w:color w:val="000000"/>
          <w:sz w:val="22"/>
          <w:u w:val="none"/>
        </w:rPr>
        <w:t>A step or set of steps that make up a process performed within the quality system (e.g., manufacturing process, CAPA, laboratory method execution).</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single"/>
        </w:rPr>
        <w:t>Corrective and Preventive Action (CAPA)</w:t>
      </w:r>
      <w:r>
        <w:rPr>
          <w:rFonts w:ascii="Calibri" w:hAnsi="Calibri" w:cs="Calibri"/>
          <w:b w:val="0"/>
          <w:i w:val="0"/>
          <w:color w:val="000000"/>
          <w:sz w:val="22"/>
          <w:u w:val="none"/>
        </w:rPr>
        <w:t xml:space="preserve"> — </w:t>
      </w:r>
      <w:r>
        <w:rPr>
          <w:rFonts w:ascii="Calibri" w:hAnsi="Calibri" w:cs="Calibri"/>
          <w:b w:val="0"/>
          <w:i w:val="0"/>
          <w:color w:val="000000"/>
          <w:sz w:val="22"/>
          <w:u w:val="none"/>
        </w:rPr>
        <w:t>A systematic approach that includes actions needed to correct (“correction”), prevent recurrence (“corrective action”), and eliminate the cause of potential nonconforming product and other quality problems (preventive action).</w:t>
      </w:r>
    </w:p>
    <w:p>
      <w:pPr>
        <w:tabs>
          <w:tab w:pos="1296" w:val="left"/>
        </w:tabs>
        <w:spacing w:after="80"/>
        <w:ind w:left="1296" w:hanging="576"/>
      </w:pPr>
      <w:r>
        <w:rPr>
          <w:rFonts w:ascii="Calibri" w:hAnsi="Calibri" w:cs="Calibri"/>
          <w:b w:val="0"/>
          <w:i w:val="0"/>
          <w:color w:val="000000"/>
          <w:sz w:val="22"/>
          <w:u w:val="none"/>
        </w:rPr>
        <w:t>4.4</w:t>
        <w:tab/>
      </w:r>
      <w:r>
        <w:rPr>
          <w:rFonts w:ascii="Calibri" w:hAnsi="Calibri" w:cs="Calibri"/>
          <w:b w:val="0"/>
          <w:i w:val="0"/>
          <w:color w:val="000000"/>
          <w:sz w:val="22"/>
          <w:u w:val="single"/>
        </w:rPr>
        <w:t>Data Integrity</w:t>
      </w:r>
      <w:r>
        <w:rPr>
          <w:rFonts w:ascii="Calibri" w:hAnsi="Calibri" w:cs="Calibri"/>
          <w:b w:val="0"/>
          <w:i w:val="0"/>
          <w:color w:val="000000"/>
          <w:sz w:val="22"/>
          <w:u w:val="none"/>
        </w:rPr>
        <w:t xml:space="preserve"> — </w:t>
      </w:r>
      <w:r>
        <w:rPr>
          <w:rFonts w:ascii="Calibri" w:hAnsi="Calibri" w:cs="Calibri"/>
          <w:b w:val="0"/>
          <w:i w:val="0"/>
          <w:color w:val="000000"/>
          <w:sz w:val="22"/>
          <w:u w:val="none"/>
        </w:rPr>
        <w:t>Data integrity includes the degree to which data fulfils key criteria of being attributable, legible, contemporaneous, original, accurate, complete, secure and reliable such that data are fit for purpose.</w:t>
      </w:r>
    </w:p>
    <w:p>
      <w:pPr>
        <w:tabs>
          <w:tab w:pos="1296" w:val="left"/>
        </w:tabs>
        <w:spacing w:after="80"/>
        <w:ind w:left="1296" w:hanging="576"/>
      </w:pPr>
      <w:r>
        <w:rPr>
          <w:rFonts w:ascii="Calibri" w:hAnsi="Calibri" w:cs="Calibri"/>
          <w:b w:val="0"/>
          <w:i w:val="0"/>
          <w:color w:val="000000"/>
          <w:sz w:val="22"/>
          <w:u w:val="none"/>
        </w:rPr>
        <w:t>4.5</w:t>
        <w:tab/>
      </w:r>
      <w:r>
        <w:rPr>
          <w:rFonts w:ascii="Calibri" w:hAnsi="Calibri" w:cs="Calibri"/>
          <w:b w:val="0"/>
          <w:i w:val="0"/>
          <w:color w:val="000000"/>
          <w:sz w:val="22"/>
          <w:u w:val="single"/>
        </w:rPr>
        <w:t>Deviation</w:t>
      </w:r>
      <w:r>
        <w:rPr>
          <w:rFonts w:ascii="Calibri" w:hAnsi="Calibri" w:cs="Calibri"/>
          <w:b w:val="0"/>
          <w:i w:val="0"/>
          <w:color w:val="000000"/>
          <w:sz w:val="22"/>
          <w:u w:val="none"/>
        </w:rPr>
        <w:t xml:space="preserve"> — </w:t>
      </w:r>
      <w:r>
        <w:rPr>
          <w:rFonts w:ascii="Calibri" w:hAnsi="Calibri" w:cs="Calibri"/>
          <w:b w:val="0"/>
          <w:i w:val="0"/>
          <w:color w:val="000000"/>
          <w:sz w:val="22"/>
          <w:u w:val="none"/>
        </w:rPr>
        <w:t>A documented departure from an approved procedure, process, or expected result.</w:t>
      </w:r>
    </w:p>
    <w:p>
      <w:pPr>
        <w:tabs>
          <w:tab w:pos="1296" w:val="left"/>
        </w:tabs>
        <w:spacing w:after="80"/>
        <w:ind w:left="1296" w:hanging="576"/>
      </w:pPr>
      <w:r>
        <w:rPr>
          <w:rFonts w:ascii="Calibri" w:hAnsi="Calibri" w:cs="Calibri"/>
          <w:b w:val="0"/>
          <w:i w:val="0"/>
          <w:color w:val="000000"/>
          <w:sz w:val="22"/>
          <w:u w:val="none"/>
        </w:rPr>
        <w:t>4.6</w:t>
        <w:tab/>
      </w:r>
      <w:r>
        <w:rPr>
          <w:rFonts w:ascii="Calibri" w:hAnsi="Calibri" w:cs="Calibri"/>
          <w:b w:val="0"/>
          <w:i w:val="0"/>
          <w:color w:val="000000"/>
          <w:sz w:val="22"/>
          <w:u w:val="single"/>
        </w:rPr>
        <w:t>Effectiveness Check</w:t>
      </w:r>
      <w:r>
        <w:rPr>
          <w:rFonts w:ascii="Calibri" w:hAnsi="Calibri" w:cs="Calibri"/>
          <w:b w:val="0"/>
          <w:i w:val="0"/>
          <w:color w:val="000000"/>
          <w:sz w:val="22"/>
          <w:u w:val="none"/>
        </w:rPr>
        <w:t xml:space="preserve"> — </w:t>
      </w:r>
      <w:r>
        <w:rPr>
          <w:rFonts w:ascii="Calibri" w:hAnsi="Calibri" w:cs="Calibri"/>
          <w:b w:val="0"/>
          <w:i w:val="0"/>
          <w:color w:val="000000"/>
          <w:sz w:val="22"/>
          <w:u w:val="none"/>
        </w:rPr>
        <w:t>Objective, factual evidence that the CAPA action has effectively addressed the root cause of the reported non-conformance been reduced or removed.</w:t>
      </w:r>
    </w:p>
    <w:p>
      <w:pPr>
        <w:tabs>
          <w:tab w:pos="1296" w:val="left"/>
        </w:tabs>
        <w:spacing w:after="80"/>
        <w:ind w:left="1296" w:hanging="576"/>
      </w:pPr>
      <w:r>
        <w:rPr>
          <w:rFonts w:ascii="Calibri" w:hAnsi="Calibri" w:cs="Calibri"/>
          <w:b w:val="0"/>
          <w:i w:val="0"/>
          <w:color w:val="000000"/>
          <w:sz w:val="22"/>
          <w:u w:val="none"/>
        </w:rPr>
        <w:t>4.7</w:t>
        <w:tab/>
      </w:r>
      <w:r>
        <w:rPr>
          <w:rFonts w:ascii="Calibri" w:hAnsi="Calibri" w:cs="Calibri"/>
          <w:b w:val="0"/>
          <w:i w:val="0"/>
          <w:color w:val="000000"/>
          <w:sz w:val="22"/>
          <w:u w:val="single"/>
        </w:rPr>
        <w:t>GxP Records</w:t>
      </w:r>
      <w:r>
        <w:rPr>
          <w:rFonts w:ascii="Calibri" w:hAnsi="Calibri" w:cs="Calibri"/>
          <w:b w:val="0"/>
          <w:i w:val="0"/>
          <w:color w:val="000000"/>
          <w:sz w:val="22"/>
          <w:u w:val="none"/>
        </w:rPr>
        <w:t xml:space="preserve"> — </w:t>
      </w:r>
      <w:r>
        <w:rPr>
          <w:rFonts w:ascii="Calibri" w:hAnsi="Calibri" w:cs="Calibri"/>
          <w:b w:val="0"/>
          <w:i w:val="0"/>
          <w:color w:val="000000"/>
          <w:sz w:val="22"/>
          <w:u w:val="none"/>
        </w:rPr>
        <w:t>Records associated with the development, manufacture, packaging, testing, marketing, and distribution of the active substance (i.e., API), pharmaceutical product (i.e., drug product), or medical device that are used for clinical and commercial purposes. This also includes registration and regulatory records for both clinical and commercial products.</w:t>
      </w:r>
    </w:p>
    <w:p>
      <w:pPr>
        <w:tabs>
          <w:tab w:pos="1296" w:val="left"/>
        </w:tabs>
        <w:spacing w:after="80"/>
        <w:ind w:left="1296" w:hanging="576"/>
      </w:pPr>
      <w:r>
        <w:rPr>
          <w:rFonts w:ascii="Calibri" w:hAnsi="Calibri" w:cs="Calibri"/>
          <w:b w:val="0"/>
          <w:i w:val="0"/>
          <w:color w:val="000000"/>
          <w:sz w:val="22"/>
          <w:u w:val="none"/>
        </w:rPr>
        <w:t>4.8</w:t>
        <w:tab/>
      </w:r>
      <w:r>
        <w:rPr>
          <w:rFonts w:ascii="Calibri" w:hAnsi="Calibri" w:cs="Calibri"/>
          <w:b w:val="0"/>
          <w:i w:val="0"/>
          <w:color w:val="000000"/>
          <w:sz w:val="22"/>
          <w:u w:val="single"/>
        </w:rPr>
        <w:t>System Administrator</w:t>
      </w:r>
      <w:r>
        <w:rPr>
          <w:rFonts w:ascii="Calibri" w:hAnsi="Calibri" w:cs="Calibri"/>
          <w:b w:val="0"/>
          <w:i w:val="0"/>
          <w:color w:val="000000"/>
          <w:sz w:val="22"/>
          <w:u w:val="none"/>
        </w:rPr>
        <w:t xml:space="preserve"> — </w:t>
      </w:r>
      <w:r>
        <w:rPr>
          <w:rFonts w:ascii="Calibri" w:hAnsi="Calibri" w:cs="Calibri"/>
          <w:b w:val="0"/>
          <w:i w:val="0"/>
          <w:color w:val="000000"/>
          <w:sz w:val="22"/>
          <w:u w:val="none"/>
        </w:rPr>
        <w:t>A person who, based on training, experience, and education, is granted higher level of system access to properly maintain the system. This administrator may include a System Administrator, Application Administrator, or a Business Administrator.</w:t>
      </w:r>
    </w:p>
    <w:p>
      <w:pPr>
        <w:tabs>
          <w:tab w:pos="1296" w:val="left"/>
        </w:tabs>
        <w:spacing w:after="80"/>
        <w:ind w:left="1296" w:hanging="576"/>
      </w:pPr>
      <w:r>
        <w:rPr>
          <w:rFonts w:ascii="Calibri" w:hAnsi="Calibri" w:cs="Calibri"/>
          <w:b w:val="0"/>
          <w:i w:val="0"/>
          <w:color w:val="000000"/>
          <w:sz w:val="22"/>
          <w:u w:val="none"/>
        </w:rPr>
        <w:t>4.9</w:t>
        <w:tab/>
      </w:r>
      <w:r>
        <w:rPr>
          <w:rFonts w:ascii="Calibri" w:hAnsi="Calibri" w:cs="Calibri"/>
          <w:b w:val="0"/>
          <w:i w:val="0"/>
          <w:color w:val="000000"/>
          <w:sz w:val="22"/>
          <w:u w:val="single"/>
        </w:rPr>
        <w:t>System / Process Owner</w:t>
      </w:r>
      <w:r>
        <w:rPr>
          <w:rFonts w:ascii="Calibri" w:hAnsi="Calibri" w:cs="Calibri"/>
          <w:b w:val="0"/>
          <w:i w:val="0"/>
          <w:color w:val="000000"/>
          <w:sz w:val="22"/>
          <w:u w:val="none"/>
        </w:rPr>
        <w:t xml:space="preserve"> — </w:t>
      </w:r>
      <w:r>
        <w:rPr>
          <w:rFonts w:ascii="Calibri" w:hAnsi="Calibri" w:cs="Calibri"/>
          <w:b w:val="0"/>
          <w:i w:val="0"/>
          <w:color w:val="000000"/>
          <w:sz w:val="22"/>
          <w:u w:val="none"/>
        </w:rPr>
        <w:t>The person ultimately responsible for the business process or processes being managed.</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IT Head or Designee</w:t>
      </w:r>
    </w:p>
    <w:p>
      <w:pPr>
        <w:tabs>
          <w:tab w:pos="1872" w:val="left"/>
        </w:tabs>
        <w:spacing w:after="80"/>
        <w:ind w:left="1872" w:hanging="576"/>
      </w:pPr>
      <w:r>
        <w:rPr>
          <w:rFonts w:ascii="Calibri" w:hAnsi="Calibri" w:cs="Calibri"/>
          <w:b w:val="0"/>
          <w:i w:val="0"/>
          <w:color w:val="000000"/>
          <w:sz w:val="22"/>
          <w:u w:val="none"/>
        </w:rPr>
        <w:t>5.1.1</w:t>
        <w:tab/>
      </w:r>
      <w:r>
        <w:rPr>
          <w:rFonts w:ascii="Calibri" w:hAnsi="Calibri" w:cs="Calibri"/>
          <w:b w:val="0"/>
          <w:i w:val="0"/>
          <w:color w:val="000000"/>
          <w:sz w:val="22"/>
          <w:u w:val="none"/>
        </w:rPr>
        <w:t>Provides oversight for periodic review activities where appropriate</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IT Manager or Designee</w:t>
      </w:r>
    </w:p>
    <w:p>
      <w:pPr>
        <w:tabs>
          <w:tab w:pos="1872" w:val="left"/>
        </w:tabs>
        <w:spacing w:after="80"/>
        <w:ind w:left="1872" w:hanging="576"/>
      </w:pPr>
      <w:r>
        <w:rPr>
          <w:rFonts w:ascii="Calibri" w:hAnsi="Calibri" w:cs="Calibri"/>
          <w:b w:val="0"/>
          <w:i w:val="0"/>
          <w:color w:val="000000"/>
          <w:sz w:val="22"/>
          <w:u w:val="none"/>
        </w:rPr>
        <w:t>5.2.1</w:t>
        <w:tab/>
      </w:r>
      <w:r>
        <w:rPr>
          <w:rFonts w:ascii="Calibri" w:hAnsi="Calibri" w:cs="Calibri"/>
          <w:b w:val="0"/>
          <w:i w:val="0"/>
          <w:color w:val="000000"/>
          <w:sz w:val="22"/>
          <w:u w:val="none"/>
        </w:rPr>
        <w:t>Prepare the IT Periodic Review Schedule (PRS) for each relevant GxP computer systems.</w:t>
      </w:r>
    </w:p>
    <w:p>
      <w:pPr>
        <w:tabs>
          <w:tab w:pos="1872" w:val="left"/>
        </w:tabs>
        <w:spacing w:after="80"/>
        <w:ind w:left="1872" w:hanging="576"/>
      </w:pPr>
      <w:r>
        <w:rPr>
          <w:rFonts w:ascii="Calibri" w:hAnsi="Calibri" w:cs="Calibri"/>
          <w:b w:val="0"/>
          <w:i w:val="0"/>
          <w:color w:val="000000"/>
          <w:sz w:val="22"/>
          <w:u w:val="none"/>
        </w:rPr>
        <w:t>5.2.2</w:t>
        <w:tab/>
      </w:r>
      <w:r>
        <w:rPr>
          <w:rFonts w:ascii="Calibri" w:hAnsi="Calibri" w:cs="Calibri"/>
          <w:b w:val="0"/>
          <w:i w:val="0"/>
          <w:color w:val="000000"/>
          <w:sz w:val="22"/>
          <w:u w:val="none"/>
        </w:rPr>
        <w:t>Perform the periodic review of IT processes along with Process Owner.</w:t>
      </w:r>
    </w:p>
    <w:p>
      <w:pPr>
        <w:tabs>
          <w:tab w:pos="1872" w:val="left"/>
        </w:tabs>
        <w:spacing w:after="80"/>
        <w:ind w:left="1872" w:hanging="576"/>
      </w:pPr>
      <w:r>
        <w:rPr>
          <w:rFonts w:ascii="Calibri" w:hAnsi="Calibri" w:cs="Calibri"/>
          <w:b w:val="0"/>
          <w:i w:val="0"/>
          <w:color w:val="000000"/>
          <w:sz w:val="22"/>
          <w:u w:val="none"/>
        </w:rPr>
        <w:t>5.2.3</w:t>
        <w:tab/>
      </w:r>
      <w:r>
        <w:rPr>
          <w:rFonts w:ascii="Calibri" w:hAnsi="Calibri" w:cs="Calibri"/>
          <w:b w:val="0"/>
          <w:i w:val="0"/>
          <w:color w:val="000000"/>
          <w:sz w:val="22"/>
          <w:u w:val="none"/>
        </w:rPr>
        <w:t>Initiate CAPA or other corrective actions where appropriate based on review findings.</w:t>
      </w:r>
    </w:p>
    <w:p>
      <w:pPr>
        <w:tabs>
          <w:tab w:pos="1872" w:val="left"/>
        </w:tabs>
        <w:spacing w:after="80"/>
        <w:ind w:left="1872" w:hanging="576"/>
      </w:pPr>
      <w:r>
        <w:rPr>
          <w:rFonts w:ascii="Calibri" w:hAnsi="Calibri" w:cs="Calibri"/>
          <w:b w:val="0"/>
          <w:i w:val="0"/>
          <w:color w:val="000000"/>
          <w:sz w:val="22"/>
          <w:u w:val="none"/>
        </w:rPr>
        <w:t>5.2.4</w:t>
        <w:tab/>
      </w:r>
      <w:r>
        <w:rPr>
          <w:rFonts w:ascii="Calibri" w:hAnsi="Calibri" w:cs="Calibri"/>
          <w:b w:val="0"/>
          <w:i w:val="0"/>
          <w:color w:val="000000"/>
          <w:sz w:val="22"/>
          <w:u w:val="none"/>
        </w:rPr>
        <w:t>Update IT processes based on the review findings.</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Quality Assurance (QA) or Designee</w:t>
      </w:r>
    </w:p>
    <w:p>
      <w:pPr>
        <w:tabs>
          <w:tab w:pos="1872" w:val="left"/>
        </w:tabs>
        <w:spacing w:after="80"/>
        <w:ind w:left="1872" w:hanging="576"/>
      </w:pPr>
      <w:r>
        <w:rPr>
          <w:rFonts w:ascii="Calibri" w:hAnsi="Calibri" w:cs="Calibri"/>
          <w:b w:val="0"/>
          <w:i w:val="0"/>
          <w:color w:val="000000"/>
          <w:sz w:val="22"/>
          <w:u w:val="none"/>
        </w:rPr>
        <w:t>5.3.1</w:t>
        <w:tab/>
      </w:r>
      <w:r>
        <w:rPr>
          <w:rFonts w:ascii="Calibri" w:hAnsi="Calibri" w:cs="Calibri"/>
          <w:b w:val="0"/>
          <w:i w:val="0"/>
          <w:color w:val="000000"/>
          <w:sz w:val="22"/>
          <w:u w:val="none"/>
        </w:rPr>
        <w:t>Coordinate review and approval of deviations, CAPAs and ECs.</w:t>
      </w:r>
    </w:p>
    <w:p>
      <w:pPr>
        <w:tabs>
          <w:tab w:pos="1872" w:val="left"/>
        </w:tabs>
        <w:spacing w:after="80"/>
        <w:ind w:left="1872" w:hanging="576"/>
      </w:pPr>
      <w:r>
        <w:rPr>
          <w:rFonts w:ascii="Calibri" w:hAnsi="Calibri" w:cs="Calibri"/>
          <w:b w:val="0"/>
          <w:i w:val="0"/>
          <w:color w:val="000000"/>
          <w:sz w:val="22"/>
          <w:u w:val="none"/>
        </w:rPr>
        <w:t>5.3.2</w:t>
        <w:tab/>
      </w:r>
      <w:r>
        <w:rPr>
          <w:rFonts w:ascii="Calibri" w:hAnsi="Calibri" w:cs="Calibri"/>
          <w:b w:val="0"/>
          <w:i w:val="0"/>
          <w:color w:val="000000"/>
          <w:sz w:val="22"/>
          <w:u w:val="none"/>
        </w:rPr>
        <w:t>Review the updated SOPs.</w:t>
      </w:r>
    </w:p>
    <w:p>
      <w:pPr>
        <w:tabs>
          <w:tab w:pos="1296" w:val="left"/>
        </w:tabs>
        <w:spacing w:after="80"/>
        <w:ind w:left="1296" w:hanging="576"/>
      </w:pPr>
      <w:r>
        <w:rPr>
          <w:rFonts w:ascii="Calibri" w:hAnsi="Calibri" w:cs="Calibri"/>
          <w:b w:val="0"/>
          <w:i w:val="0"/>
          <w:color w:val="000000"/>
          <w:sz w:val="22"/>
          <w:u w:val="none"/>
        </w:rPr>
        <w:t>5.4</w:t>
        <w:tab/>
      </w:r>
      <w:r>
        <w:rPr>
          <w:rFonts w:ascii="Calibri" w:hAnsi="Calibri" w:cs="Calibri"/>
          <w:b w:val="0"/>
          <w:i w:val="0"/>
          <w:color w:val="000000"/>
          <w:sz w:val="22"/>
          <w:u w:val="none"/>
        </w:rPr>
        <w:t>Process Owner (PO) or Designee</w:t>
      </w:r>
    </w:p>
    <w:p>
      <w:pPr>
        <w:tabs>
          <w:tab w:pos="1872" w:val="left"/>
        </w:tabs>
        <w:spacing w:after="80"/>
        <w:ind w:left="1872" w:hanging="576"/>
      </w:pPr>
      <w:r>
        <w:rPr>
          <w:rFonts w:ascii="Calibri" w:hAnsi="Calibri" w:cs="Calibri"/>
          <w:b w:val="0"/>
          <w:i w:val="0"/>
          <w:color w:val="000000"/>
          <w:sz w:val="22"/>
          <w:u w:val="none"/>
        </w:rPr>
        <w:t>5.4.1</w:t>
        <w:tab/>
      </w:r>
      <w:r>
        <w:rPr>
          <w:rFonts w:ascii="Calibri" w:hAnsi="Calibri" w:cs="Calibri"/>
          <w:b w:val="0"/>
          <w:i w:val="0"/>
          <w:color w:val="000000"/>
          <w:sz w:val="22"/>
          <w:u w:val="none"/>
        </w:rPr>
        <w:t>Participate in the periodic review and provide the required documents to the IT Manager for review.</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Periodic reviews may be performed for computerized systems and IT processes based on system risk, complexity, criticality, regulatory relevance, and operational impact.</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The PRS is reviewed and approved by the Head of Information Technology (IT).</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The frequency for performing the periodic reviews is dependent on the system impact, complexity, and novelty of the system. Thus, a risk-based approach must be followed while performing periodic reviews. Higher-risk systems or processes may require more frequent or detailed review activities.</w:t>
      </w:r>
    </w:p>
    <w:p>
      <w:pPr>
        <w:tabs>
          <w:tab w:pos="1296" w:val="left"/>
        </w:tabs>
        <w:spacing w:after="80"/>
        <w:ind w:left="1296" w:hanging="576"/>
      </w:pPr>
      <w:r>
        <w:rPr>
          <w:rFonts w:ascii="Calibri" w:hAnsi="Calibri" w:cs="Calibri"/>
          <w:b w:val="0"/>
          <w:i w:val="0"/>
          <w:color w:val="000000"/>
          <w:sz w:val="22"/>
          <w:u w:val="none"/>
        </w:rPr>
        <w:t>6.4</w:t>
        <w:tab/>
      </w:r>
      <w:r>
        <w:rPr>
          <w:rFonts w:ascii="Calibri" w:hAnsi="Calibri" w:cs="Calibri"/>
          <w:b w:val="0"/>
          <w:i w:val="0"/>
          <w:color w:val="000000"/>
          <w:sz w:val="22"/>
          <w:u w:val="none"/>
        </w:rPr>
        <w:t>Relevant documentation, records, system information, incidents, changes, deviations, CAPAs, audit findings, and security or access control information may be reviewed where appropriate based on the scope of the review.</w:t>
      </w:r>
    </w:p>
    <w:p>
      <w:pPr>
        <w:tabs>
          <w:tab w:pos="1296" w:val="left"/>
        </w:tabs>
        <w:spacing w:after="80"/>
        <w:ind w:left="1296" w:hanging="576"/>
      </w:pPr>
      <w:r>
        <w:rPr>
          <w:rFonts w:ascii="Calibri" w:hAnsi="Calibri" w:cs="Calibri"/>
          <w:b w:val="0"/>
          <w:i w:val="0"/>
          <w:color w:val="000000"/>
          <w:sz w:val="22"/>
          <w:u w:val="none"/>
        </w:rPr>
        <w:t>6.5</w:t>
        <w:tab/>
      </w:r>
      <w:r>
        <w:rPr>
          <w:rFonts w:ascii="Calibri" w:hAnsi="Calibri" w:cs="Calibri"/>
          <w:b w:val="0"/>
          <w:i w:val="0"/>
          <w:color w:val="000000"/>
          <w:sz w:val="22"/>
          <w:u w:val="none"/>
        </w:rPr>
        <w:t>Appropriate personnel define the scope and focus of the review activities based on system risk and operational considerations.</w:t>
      </w:r>
    </w:p>
    <w:p>
      <w:pPr>
        <w:tabs>
          <w:tab w:pos="1296" w:val="left"/>
        </w:tabs>
        <w:spacing w:after="80"/>
        <w:ind w:left="1296" w:hanging="576"/>
      </w:pPr>
      <w:r>
        <w:rPr>
          <w:rFonts w:ascii="Calibri" w:hAnsi="Calibri" w:cs="Calibri"/>
          <w:b w:val="0"/>
          <w:i w:val="0"/>
          <w:color w:val="000000"/>
          <w:sz w:val="22"/>
          <w:u w:val="none"/>
        </w:rPr>
        <w:t>6.6</w:t>
        <w:tab/>
      </w:r>
      <w:r>
        <w:rPr>
          <w:rFonts w:ascii="Calibri" w:hAnsi="Calibri" w:cs="Calibri"/>
          <w:b w:val="0"/>
          <w:i w:val="0"/>
          <w:color w:val="000000"/>
          <w:sz w:val="22"/>
          <w:u w:val="none"/>
        </w:rPr>
        <w:t>Reviews may evaluate areas such as system functionality, documentation status, user access, security controls, system changes, incidents, deviations, training, backup activities, and operational effectiveness where applicable.</w:t>
      </w:r>
    </w:p>
    <w:p>
      <w:pPr>
        <w:tabs>
          <w:tab w:pos="1296" w:val="left"/>
        </w:tabs>
        <w:spacing w:after="80"/>
        <w:ind w:left="1296" w:hanging="576"/>
      </w:pPr>
      <w:r>
        <w:rPr>
          <w:rFonts w:ascii="Calibri" w:hAnsi="Calibri" w:cs="Calibri"/>
          <w:b w:val="0"/>
          <w:i w:val="0"/>
          <w:color w:val="000000"/>
          <w:sz w:val="22"/>
          <w:u w:val="none"/>
        </w:rPr>
        <w:t>6.7</w:t>
        <w:tab/>
      </w:r>
      <w:r>
        <w:rPr>
          <w:rFonts w:ascii="Calibri" w:hAnsi="Calibri" w:cs="Calibri"/>
          <w:b w:val="0"/>
          <w:i w:val="0"/>
          <w:color w:val="000000"/>
          <w:sz w:val="22"/>
          <w:u w:val="none"/>
        </w:rPr>
        <w:t>Relevant regulatory or procedural changes may be considered where appropriate during review activities.</w:t>
      </w:r>
    </w:p>
    <w:p>
      <w:pPr>
        <w:tabs>
          <w:tab w:pos="1296" w:val="left"/>
        </w:tabs>
        <w:spacing w:after="80"/>
        <w:ind w:left="1296" w:hanging="576"/>
      </w:pPr>
      <w:r>
        <w:rPr>
          <w:rFonts w:ascii="Calibri" w:hAnsi="Calibri" w:cs="Calibri"/>
          <w:b w:val="0"/>
          <w:i w:val="0"/>
          <w:color w:val="000000"/>
          <w:sz w:val="22"/>
          <w:u w:val="none"/>
        </w:rPr>
        <w:t>6.8</w:t>
        <w:tab/>
      </w:r>
      <w:r>
        <w:rPr>
          <w:rFonts w:ascii="Calibri" w:hAnsi="Calibri" w:cs="Calibri"/>
          <w:b w:val="0"/>
          <w:i w:val="0"/>
          <w:color w:val="000000"/>
          <w:sz w:val="22"/>
          <w:u w:val="none"/>
        </w:rPr>
        <w:t>Significant gaps, risks, or improvement opportunities identified during review activities may be assessed and addressed through appropriate corrective actions where applicable.</w:t>
      </w:r>
    </w:p>
    <w:p>
      <w:pPr>
        <w:tabs>
          <w:tab w:pos="1296" w:val="left"/>
        </w:tabs>
        <w:spacing w:after="80"/>
        <w:ind w:left="1296" w:hanging="576"/>
      </w:pPr>
      <w:r>
        <w:rPr>
          <w:rFonts w:ascii="Calibri" w:hAnsi="Calibri" w:cs="Calibri"/>
          <w:b w:val="0"/>
          <w:i w:val="0"/>
          <w:color w:val="000000"/>
          <w:sz w:val="22"/>
          <w:u w:val="none"/>
        </w:rPr>
        <w:t>6.9</w:t>
        <w:tab/>
      </w:r>
      <w:r>
        <w:rPr>
          <w:rFonts w:ascii="Calibri" w:hAnsi="Calibri" w:cs="Calibri"/>
          <w:b w:val="0"/>
          <w:i w:val="0"/>
          <w:color w:val="000000"/>
          <w:sz w:val="22"/>
          <w:u w:val="none"/>
        </w:rPr>
        <w:t>Deviations, incidents, trends, or recurring issues may be reviewed and evaluated for corrective action where appropriate. 6.10The process reviews for a computer system can be either performed at a predefined period as per the Periodic Review Schedule or can be via continuous monitoring and trending e.g., monitoring incidents, deviations, changes, etc. 6.11Audit trails, security access, and related logs may be reviewed based on system risk, regulatory relevance, and operational considerations. 6.12Significant gaps or issues identified during periodic reviews may be addressed through CAPA, deviation, change control, or other corrective action processes where appropriate. 6.13At the conclusion of the periodic review, IT, PO prepare a report the covers the outcome of the review, issues identified, if any and remediation required. Review outcomes and any identified actions may be documented where appropriate. 6.14Corrective actions may be initiated and tracked where appropriate based on review findings. 6.15QA and IT review the CAPA report and verify effectiveness of the CAPA before closing the issue. 6.16File documentation related to the IT periodic reviews as per the SOP-004 GxP Records Retention.</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ATTACHMENTS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N/A</w:t>
      </w:r>
    </w:p>
    <w:p>
      <w:pPr>
        <w:keepNext/>
        <w:tabs>
          <w:tab w:pos="504" w:val="left"/>
        </w:tabs>
        <w:spacing w:before="160" w:after="80"/>
      </w:pPr>
      <w:r>
        <w:rPr>
          <w:rFonts w:ascii="Calibri" w:hAnsi="Calibri" w:cs="Calibri"/>
          <w:b/>
          <w:i w:val="0"/>
          <w:color w:val="000000"/>
          <w:sz w:val="22"/>
          <w:u w:val="none"/>
        </w:rPr>
        <w:t>8</w:t>
      </w:r>
      <w:r>
        <w:rPr>
          <w:rFonts w:ascii="Calibri" w:hAnsi="Calibri" w:cs="Calibri"/>
          <w:b/>
          <w:i w:val="0"/>
          <w:color w:val="000000"/>
          <w:sz w:val="22"/>
          <w:u w:val="none"/>
        </w:rPr>
        <w:tab/>
      </w:r>
      <w:r>
        <w:rPr>
          <w:rFonts w:ascii="Calibri" w:hAnsi="Calibri" w:cs="Calibri"/>
          <w:b/>
          <w:i w:val="0"/>
          <w:color w:val="000000"/>
          <w:sz w:val="22"/>
          <w:u w:val="none"/>
        </w:rPr>
        <w:t>REVISION HISTORY</w:t>
      </w:r>
    </w:p>
    <w:p>
      <w:pPr>
        <w:spacing w:after="120"/>
        <w:ind w:left="504"/>
      </w:pPr>
      <w:r>
        <w:rPr>
          <w:rFonts w:ascii="Calibri" w:hAnsi="Calibri" w:cs="Calibri"/>
          <w:b w:val="0"/>
          <w:i w:val="0"/>
          <w:color w:val="000000"/>
          <w:sz w:val="22"/>
          <w:u w:val="none"/>
        </w:rPr>
        <w:t>Version Number Date Summary of Change(s) 01 22-MAY-2026 New Document [X.0] [DD-MMM-YYYY] [Insert a summary of the changes] SIGNATURE PAGE [ADD ADDITIONAL ROWS AS NEEDED] Author: NAME TITLE SIGNATURE DATE DD-MMM-YYYY Justin Shaka Fractional COO Reviewer: NAME TITLE SIGNATURE DATE Jay Chhablani President Approver: NAME TITLE SIGNATURE DATE Sandeep Chandra Director of AI Bollepalli</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SOP-025</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22-MAY-2026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Periodic Review of IT Processes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