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tabs>
          <w:tab w:pos="504" w:val="left"/>
        </w:tabs>
        <w:spacing w:before="160" w:after="80"/>
      </w:pPr>
      <w:r>
        <w:rPr>
          <w:rFonts w:ascii="Calibri" w:hAnsi="Calibri" w:cs="Calibri"/>
          <w:b/>
          <w:i w:val="0"/>
          <w:color w:val="000000"/>
          <w:sz w:val="22"/>
          <w:u w:val="none"/>
        </w:rPr>
        <w:t>1</w:t>
      </w:r>
      <w:r>
        <w:rPr>
          <w:rFonts w:ascii="Calibri" w:hAnsi="Calibri" w:cs="Calibri"/>
          <w:b/>
          <w:i w:val="0"/>
          <w:color w:val="000000"/>
          <w:sz w:val="22"/>
          <w:u w:val="none"/>
        </w:rPr>
        <w:tab/>
      </w:r>
      <w:r>
        <w:rPr>
          <w:rFonts w:ascii="Calibri" w:hAnsi="Calibri" w:cs="Calibri"/>
          <w:b/>
          <w:i w:val="0"/>
          <w:color w:val="000000"/>
          <w:sz w:val="22"/>
          <w:u w:val="none"/>
        </w:rPr>
        <w:t>PURPOSE</w:t>
      </w:r>
    </w:p>
    <w:p>
      <w:pPr>
        <w:spacing w:after="120"/>
        <w:ind w:left="504"/>
      </w:pPr>
      <w:r>
        <w:rPr>
          <w:rFonts w:ascii="Calibri" w:hAnsi="Calibri" w:cs="Calibri"/>
          <w:b w:val="0"/>
          <w:i w:val="0"/>
          <w:color w:val="000000"/>
          <w:sz w:val="22"/>
          <w:u w:val="none"/>
        </w:rPr>
        <w:t>This Standard Operating Procedure (SOP) outlines the process for investigating, reporting, and documenting potential cases of fraud and/or serious misconduct/noncompliance during any GxP conduct by or on behalf of Netramind.</w:t>
      </w:r>
    </w:p>
    <w:p>
      <w:pPr>
        <w:keepNext/>
        <w:tabs>
          <w:tab w:pos="504" w:val="left"/>
        </w:tabs>
        <w:spacing w:before="160" w:after="80"/>
      </w:pPr>
      <w:r>
        <w:rPr>
          <w:rFonts w:ascii="Calibri" w:hAnsi="Calibri" w:cs="Calibri"/>
          <w:b/>
          <w:i w:val="0"/>
          <w:color w:val="000000"/>
          <w:sz w:val="22"/>
          <w:u w:val="none"/>
        </w:rPr>
        <w:t>2</w:t>
      </w:r>
      <w:r>
        <w:rPr>
          <w:rFonts w:ascii="Calibri" w:hAnsi="Calibri" w:cs="Calibri"/>
          <w:b/>
          <w:i w:val="0"/>
          <w:color w:val="000000"/>
          <w:sz w:val="22"/>
          <w:u w:val="none"/>
        </w:rPr>
        <w:tab/>
      </w:r>
      <w:r>
        <w:rPr>
          <w:rFonts w:ascii="Calibri" w:hAnsi="Calibri" w:cs="Calibri"/>
          <w:b/>
          <w:i w:val="0"/>
          <w:color w:val="000000"/>
          <w:sz w:val="22"/>
          <w:u w:val="none"/>
        </w:rPr>
        <w:t>SCOPE</w:t>
      </w:r>
    </w:p>
    <w:p>
      <w:pPr>
        <w:spacing w:after="120"/>
        <w:ind w:left="504"/>
      </w:pPr>
      <w:r>
        <w:rPr>
          <w:rFonts w:ascii="Calibri" w:hAnsi="Calibri" w:cs="Calibri"/>
          <w:b w:val="0"/>
          <w:i w:val="0"/>
          <w:color w:val="000000"/>
          <w:sz w:val="22"/>
          <w:u w:val="none"/>
        </w:rPr>
        <w:t>This SOP applies to all Netramind employees, consultants, contractors, service providers, and investigator site personnel involved in Netramind-sponsored clinical research activities, GxP-regulated activities, computerized systems, regulated data handling, or operational processes. Netramind may delegate certain activities described in this SOP to external service providers or Contract Research Organizations (CROs) where appropriate; however, Netramind remains responsible for oversight and management of applicable quality and compliance activities.</w:t>
      </w:r>
    </w:p>
    <w:p>
      <w:pPr>
        <w:keepNext/>
        <w:tabs>
          <w:tab w:pos="504" w:val="left"/>
        </w:tabs>
        <w:spacing w:before="160" w:after="80"/>
      </w:pPr>
      <w:r>
        <w:rPr>
          <w:rFonts w:ascii="Calibri" w:hAnsi="Calibri" w:cs="Calibri"/>
          <w:b/>
          <w:i w:val="0"/>
          <w:color w:val="000000"/>
          <w:sz w:val="22"/>
          <w:u w:val="none"/>
        </w:rPr>
        <w:t>3</w:t>
      </w:r>
      <w:r>
        <w:rPr>
          <w:rFonts w:ascii="Calibri" w:hAnsi="Calibri" w:cs="Calibri"/>
          <w:b/>
          <w:i w:val="0"/>
          <w:color w:val="000000"/>
          <w:sz w:val="22"/>
          <w:u w:val="none"/>
        </w:rPr>
        <w:tab/>
      </w:r>
      <w:r>
        <w:rPr>
          <w:rFonts w:ascii="Calibri" w:hAnsi="Calibri" w:cs="Calibri"/>
          <w:b/>
          <w:i w:val="0"/>
          <w:color w:val="000000"/>
          <w:sz w:val="22"/>
          <w:u w:val="none"/>
        </w:rPr>
        <w:t>REFERENCES</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C00000"/>
          <w:sz w:val="22"/>
          <w:u w:val="none"/>
        </w:rPr>
        <w:t>SOP-007 Corrective and Preventative Action</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C00000"/>
          <w:sz w:val="22"/>
          <w:u w:val="none"/>
        </w:rPr>
        <w:t>SOP-016 Data Integrity</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21 CFR §58, Subpart K: Disqualification of Testing Facilities</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21 CFR §312.56: Review of Ongoing Investigations</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21 CFR §312.70: Disqualification of a Clinical Investigator</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International Conference on Harmonization (ICH) Q7: Good Manufacturing Practice Guide for Active Pharmaceutical Ingredients; November 2000</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International Conference on Harmonization (ICH) E6 (R3) Good Clinical Practice</w:t>
      </w:r>
    </w:p>
    <w:p>
      <w:pPr>
        <w:keepNext/>
        <w:tabs>
          <w:tab w:pos="504" w:val="left"/>
        </w:tabs>
        <w:spacing w:before="160" w:after="80"/>
      </w:pPr>
      <w:r>
        <w:rPr>
          <w:rFonts w:ascii="Calibri" w:hAnsi="Calibri" w:cs="Calibri"/>
          <w:b/>
          <w:i w:val="0"/>
          <w:color w:val="000000"/>
          <w:sz w:val="22"/>
          <w:u w:val="none"/>
        </w:rPr>
        <w:t>4</w:t>
      </w:r>
      <w:r>
        <w:rPr>
          <w:rFonts w:ascii="Calibri" w:hAnsi="Calibri" w:cs="Calibri"/>
          <w:b/>
          <w:i w:val="0"/>
          <w:color w:val="000000"/>
          <w:sz w:val="22"/>
          <w:u w:val="none"/>
        </w:rPr>
        <w:tab/>
      </w:r>
      <w:r>
        <w:rPr>
          <w:rFonts w:ascii="Calibri" w:hAnsi="Calibri" w:cs="Calibri"/>
          <w:b/>
          <w:i w:val="0"/>
          <w:color w:val="000000"/>
          <w:sz w:val="22"/>
          <w:u w:val="none"/>
        </w:rPr>
        <w:t>DEFINITIONS</w:t>
      </w:r>
    </w:p>
    <w:p>
      <w:pPr>
        <w:tabs>
          <w:tab w:pos="1296" w:val="left"/>
        </w:tabs>
        <w:spacing w:after="80"/>
        <w:ind w:left="1296" w:hanging="576"/>
      </w:pPr>
      <w:r>
        <w:rPr>
          <w:rFonts w:ascii="Calibri" w:hAnsi="Calibri" w:cs="Calibri"/>
          <w:b w:val="0"/>
          <w:i w:val="0"/>
          <w:color w:val="000000"/>
          <w:sz w:val="22"/>
          <w:u w:val="none"/>
        </w:rPr>
        <w:t>4.1</w:t>
        <w:tab/>
      </w:r>
      <w:r>
        <w:rPr>
          <w:rFonts w:ascii="Calibri" w:hAnsi="Calibri" w:cs="Calibri"/>
          <w:b w:val="0"/>
          <w:i w:val="0"/>
          <w:color w:val="000000"/>
          <w:sz w:val="22"/>
          <w:u w:val="single"/>
        </w:rPr>
        <w:t>Fraud</w:t>
      </w:r>
      <w:r>
        <w:rPr>
          <w:rFonts w:ascii="Calibri" w:hAnsi="Calibri" w:cs="Calibri"/>
          <w:b w:val="0"/>
          <w:i w:val="0"/>
          <w:color w:val="000000"/>
          <w:sz w:val="22"/>
          <w:u w:val="none"/>
        </w:rPr>
        <w:t xml:space="preserve"> — </w:t>
      </w:r>
      <w:r>
        <w:rPr>
          <w:rFonts w:ascii="Calibri" w:hAnsi="Calibri" w:cs="Calibri"/>
          <w:b w:val="0"/>
          <w:i w:val="0"/>
          <w:color w:val="000000"/>
          <w:sz w:val="22"/>
          <w:u w:val="none"/>
        </w:rPr>
        <w:t>Deliberately submitting and/or recording false data or the withholding of reportable data with intent to deceive regulatory authorities to secure unfair or unlawful gain (ex: product approval). Fraud is generally classified into three categories:</w:t>
      </w:r>
    </w:p>
    <w:p>
      <w:pPr>
        <w:tabs>
          <w:tab w:pos="1296" w:val="left"/>
        </w:tabs>
        <w:spacing w:after="80"/>
        <w:ind w:left="1296" w:hanging="576"/>
      </w:pPr>
      <w:r>
        <w:rPr>
          <w:rFonts w:ascii="Calibri" w:hAnsi="Calibri" w:cs="Calibri"/>
          <w:b w:val="0"/>
          <w:i w:val="0"/>
          <w:color w:val="000000"/>
          <w:sz w:val="22"/>
          <w:u w:val="none"/>
        </w:rPr>
        <w:t>4.1.1</w:t>
        <w:tab/>
      </w:r>
      <w:r>
        <w:rPr>
          <w:rFonts w:ascii="Calibri" w:hAnsi="Calibri" w:cs="Calibri"/>
          <w:b w:val="0"/>
          <w:i w:val="0"/>
          <w:color w:val="000000"/>
          <w:sz w:val="22"/>
          <w:u w:val="single"/>
        </w:rPr>
        <w:t>Altered Data</w:t>
      </w:r>
      <w:r>
        <w:rPr>
          <w:rFonts w:ascii="Calibri" w:hAnsi="Calibri" w:cs="Calibri"/>
          <w:b w:val="0"/>
          <w:i w:val="0"/>
          <w:color w:val="000000"/>
          <w:sz w:val="22"/>
          <w:u w:val="none"/>
        </w:rPr>
        <w:t xml:space="preserve"> — </w:t>
      </w:r>
      <w:r>
        <w:rPr>
          <w:rFonts w:ascii="Calibri" w:hAnsi="Calibri" w:cs="Calibri"/>
          <w:b w:val="0"/>
          <w:i w:val="0"/>
          <w:color w:val="000000"/>
          <w:sz w:val="22"/>
          <w:u w:val="none"/>
        </w:rPr>
        <w:t>Generating biased or changing data that has been legitimately obtained.</w:t>
      </w:r>
    </w:p>
    <w:p>
      <w:pPr>
        <w:tabs>
          <w:tab w:pos="1296" w:val="left"/>
        </w:tabs>
        <w:spacing w:after="80"/>
        <w:ind w:left="1296" w:hanging="576"/>
      </w:pPr>
      <w:r>
        <w:rPr>
          <w:rFonts w:ascii="Calibri" w:hAnsi="Calibri" w:cs="Calibri"/>
          <w:b w:val="0"/>
          <w:i w:val="0"/>
          <w:color w:val="000000"/>
          <w:sz w:val="22"/>
          <w:u w:val="none"/>
        </w:rPr>
        <w:t>4.1.2</w:t>
        <w:tab/>
      </w:r>
      <w:r>
        <w:rPr>
          <w:rFonts w:ascii="Calibri" w:hAnsi="Calibri" w:cs="Calibri"/>
          <w:b w:val="0"/>
          <w:i w:val="0"/>
          <w:color w:val="000000"/>
          <w:sz w:val="22"/>
          <w:u w:val="single"/>
        </w:rPr>
        <w:t>Manufactured Data</w:t>
      </w:r>
      <w:r>
        <w:rPr>
          <w:rFonts w:ascii="Calibri" w:hAnsi="Calibri" w:cs="Calibri"/>
          <w:b w:val="0"/>
          <w:i w:val="0"/>
          <w:color w:val="000000"/>
          <w:sz w:val="22"/>
          <w:u w:val="none"/>
        </w:rPr>
        <w:t xml:space="preserve"> — </w:t>
      </w:r>
      <w:r>
        <w:rPr>
          <w:rFonts w:ascii="Calibri" w:hAnsi="Calibri" w:cs="Calibri"/>
          <w:b w:val="0"/>
          <w:i w:val="0"/>
          <w:color w:val="000000"/>
          <w:sz w:val="22"/>
          <w:u w:val="none"/>
        </w:rPr>
        <w:t>Fabricating information or falsifying study results without performing the work.</w:t>
      </w:r>
    </w:p>
    <w:p>
      <w:pPr>
        <w:tabs>
          <w:tab w:pos="1296" w:val="left"/>
        </w:tabs>
        <w:spacing w:after="80"/>
        <w:ind w:left="1296" w:hanging="576"/>
      </w:pPr>
      <w:r>
        <w:rPr>
          <w:rFonts w:ascii="Calibri" w:hAnsi="Calibri" w:cs="Calibri"/>
          <w:b w:val="0"/>
          <w:i w:val="0"/>
          <w:color w:val="000000"/>
          <w:sz w:val="22"/>
          <w:u w:val="none"/>
        </w:rPr>
        <w:t>4.1.3</w:t>
        <w:tab/>
      </w:r>
      <w:r>
        <w:rPr>
          <w:rFonts w:ascii="Calibri" w:hAnsi="Calibri" w:cs="Calibri"/>
          <w:b w:val="0"/>
          <w:i w:val="0"/>
          <w:color w:val="000000"/>
          <w:sz w:val="22"/>
          <w:u w:val="single"/>
        </w:rPr>
        <w:t>Omitted Data</w:t>
      </w:r>
      <w:r>
        <w:rPr>
          <w:rFonts w:ascii="Calibri" w:hAnsi="Calibri" w:cs="Calibri"/>
          <w:b w:val="0"/>
          <w:i w:val="0"/>
          <w:color w:val="000000"/>
          <w:sz w:val="22"/>
          <w:u w:val="none"/>
        </w:rPr>
        <w:t xml:space="preserve"> — </w:t>
      </w:r>
      <w:r>
        <w:rPr>
          <w:rFonts w:ascii="Calibri" w:hAnsi="Calibri" w:cs="Calibri"/>
          <w:b w:val="0"/>
          <w:i w:val="0"/>
          <w:color w:val="000000"/>
          <w:sz w:val="22"/>
          <w:u w:val="none"/>
        </w:rPr>
        <w:t>Intentionally not reporting data that could have an impact on study outcomes.</w:t>
      </w:r>
    </w:p>
    <w:p>
      <w:pPr>
        <w:tabs>
          <w:tab w:pos="1296" w:val="left"/>
        </w:tabs>
        <w:spacing w:after="80"/>
        <w:ind w:left="1296" w:hanging="576"/>
      </w:pPr>
      <w:r>
        <w:rPr>
          <w:rFonts w:ascii="Calibri" w:hAnsi="Calibri" w:cs="Calibri"/>
          <w:b w:val="0"/>
          <w:i w:val="0"/>
          <w:color w:val="000000"/>
          <w:sz w:val="22"/>
          <w:u w:val="none"/>
        </w:rPr>
        <w:t>4.2</w:t>
        <w:tab/>
      </w:r>
      <w:r>
        <w:rPr>
          <w:rFonts w:ascii="Calibri" w:hAnsi="Calibri" w:cs="Calibri"/>
          <w:b w:val="0"/>
          <w:i w:val="0"/>
          <w:color w:val="000000"/>
          <w:sz w:val="22"/>
          <w:u w:val="single"/>
        </w:rPr>
        <w:t>Forgery</w:t>
      </w:r>
      <w:r>
        <w:rPr>
          <w:rFonts w:ascii="Calibri" w:hAnsi="Calibri" w:cs="Calibri"/>
          <w:b w:val="0"/>
          <w:i w:val="0"/>
          <w:color w:val="000000"/>
          <w:sz w:val="22"/>
          <w:u w:val="none"/>
        </w:rPr>
        <w:t xml:space="preserve"> — </w:t>
      </w:r>
      <w:r>
        <w:rPr>
          <w:rFonts w:ascii="Calibri" w:hAnsi="Calibri" w:cs="Calibri"/>
          <w:b w:val="0"/>
          <w:i w:val="0"/>
          <w:color w:val="000000"/>
          <w:sz w:val="22"/>
          <w:u w:val="none"/>
        </w:rPr>
        <w:t>The notation or use of a signature or initials (including electronic) of an individual without the individual’s consent.</w:t>
      </w:r>
    </w:p>
    <w:p>
      <w:pPr>
        <w:tabs>
          <w:tab w:pos="1296" w:val="left"/>
        </w:tabs>
        <w:spacing w:after="80"/>
        <w:ind w:left="1296" w:hanging="576"/>
      </w:pPr>
      <w:r>
        <w:rPr>
          <w:rFonts w:ascii="Calibri" w:hAnsi="Calibri" w:cs="Calibri"/>
          <w:b w:val="0"/>
          <w:i w:val="0"/>
          <w:color w:val="000000"/>
          <w:sz w:val="22"/>
          <w:u w:val="none"/>
        </w:rPr>
        <w:t>4.3</w:t>
        <w:tab/>
      </w:r>
      <w:r>
        <w:rPr>
          <w:rFonts w:ascii="Calibri" w:hAnsi="Calibri" w:cs="Calibri"/>
          <w:b w:val="0"/>
          <w:i w:val="0"/>
          <w:color w:val="000000"/>
          <w:sz w:val="22"/>
          <w:u w:val="single"/>
        </w:rPr>
        <w:t>Noncompliance</w:t>
      </w:r>
      <w:r>
        <w:rPr>
          <w:rFonts w:ascii="Calibri" w:hAnsi="Calibri" w:cs="Calibri"/>
          <w:b w:val="0"/>
          <w:i w:val="0"/>
          <w:color w:val="000000"/>
          <w:sz w:val="22"/>
          <w:u w:val="none"/>
        </w:rPr>
        <w:t xml:space="preserve"> — </w:t>
      </w:r>
      <w:r>
        <w:rPr>
          <w:rFonts w:ascii="Calibri" w:hAnsi="Calibri" w:cs="Calibri"/>
          <w:b w:val="0"/>
          <w:i w:val="0"/>
          <w:color w:val="000000"/>
          <w:sz w:val="22"/>
          <w:u w:val="none"/>
        </w:rPr>
        <w:t>Divergence from approved protocols and/or amendments, SOPs, GCP, and/or applicable regulatory requirements by an investigator, institution staff, or by members of Sponsor staff.</w:t>
      </w:r>
    </w:p>
    <w:p>
      <w:pPr>
        <w:tabs>
          <w:tab w:pos="1296" w:val="left"/>
        </w:tabs>
        <w:spacing w:after="80"/>
        <w:ind w:left="1296" w:hanging="576"/>
      </w:pPr>
      <w:r>
        <w:rPr>
          <w:rFonts w:ascii="Calibri" w:hAnsi="Calibri" w:cs="Calibri"/>
          <w:b w:val="0"/>
          <w:i w:val="0"/>
          <w:color w:val="000000"/>
          <w:sz w:val="22"/>
          <w:u w:val="none"/>
        </w:rPr>
        <w:t>4.4</w:t>
        <w:tab/>
      </w:r>
      <w:r>
        <w:rPr>
          <w:rFonts w:ascii="Calibri" w:hAnsi="Calibri" w:cs="Calibri"/>
          <w:b w:val="0"/>
          <w:i w:val="0"/>
          <w:color w:val="000000"/>
          <w:sz w:val="22"/>
          <w:u w:val="single"/>
        </w:rPr>
        <w:t>Serious Misconduct</w:t>
      </w:r>
      <w:r>
        <w:rPr>
          <w:rFonts w:ascii="Calibri" w:hAnsi="Calibri" w:cs="Calibri"/>
          <w:b w:val="0"/>
          <w:i w:val="0"/>
          <w:color w:val="000000"/>
          <w:sz w:val="22"/>
          <w:u w:val="none"/>
        </w:rPr>
        <w:t xml:space="preserve"> — </w:t>
      </w:r>
      <w:r>
        <w:rPr>
          <w:rFonts w:ascii="Calibri" w:hAnsi="Calibri" w:cs="Calibri"/>
          <w:b w:val="0"/>
          <w:i w:val="0"/>
          <w:color w:val="000000"/>
          <w:sz w:val="22"/>
          <w:u w:val="none"/>
        </w:rPr>
        <w:t>Deliberate noncompliance with approved protocols and/or amendments, GCP, applicable regulatory requirements, Netramind SOPs, investigator site SOPs (if applicable), CRO SOPs (if applicable and approved for use by Netramind), or practices that (1) seriously deviate from those commonly accepted by the scientific research community for proposing, conducting, and reporting research and (2) compromise the safety of research subjects or the quality, data integrity, and documents generated from such studies.</w:t>
      </w:r>
    </w:p>
    <w:p>
      <w:pPr>
        <w:keepNext/>
        <w:tabs>
          <w:tab w:pos="504" w:val="left"/>
        </w:tabs>
        <w:spacing w:before="160" w:after="80"/>
      </w:pPr>
      <w:r>
        <w:rPr>
          <w:rFonts w:ascii="Calibri" w:hAnsi="Calibri" w:cs="Calibri"/>
          <w:b/>
          <w:i w:val="0"/>
          <w:color w:val="000000"/>
          <w:sz w:val="22"/>
          <w:u w:val="none"/>
        </w:rPr>
        <w:t>5</w:t>
      </w:r>
      <w:r>
        <w:rPr>
          <w:rFonts w:ascii="Calibri" w:hAnsi="Calibri" w:cs="Calibri"/>
          <w:b/>
          <w:i w:val="0"/>
          <w:color w:val="000000"/>
          <w:sz w:val="22"/>
          <w:u w:val="none"/>
        </w:rPr>
        <w:tab/>
      </w:r>
      <w:r>
        <w:rPr>
          <w:rFonts w:ascii="Calibri" w:hAnsi="Calibri" w:cs="Calibri"/>
          <w:b/>
          <w:i w:val="0"/>
          <w:color w:val="000000"/>
          <w:sz w:val="22"/>
          <w:u w:val="none"/>
        </w:rPr>
        <w:t>RESPONSIBILITIES</w:t>
      </w:r>
    </w:p>
    <w:p>
      <w:pPr>
        <w:tabs>
          <w:tab w:pos="1296" w:val="left"/>
        </w:tabs>
        <w:spacing w:after="80"/>
        <w:ind w:left="1296" w:hanging="576"/>
      </w:pPr>
      <w:r>
        <w:rPr>
          <w:rFonts w:ascii="Calibri" w:hAnsi="Calibri" w:cs="Calibri"/>
          <w:b w:val="0"/>
          <w:i w:val="0"/>
          <w:color w:val="000000"/>
          <w:sz w:val="22"/>
          <w:u w:val="none"/>
        </w:rPr>
        <w:t>5.1</w:t>
        <w:tab/>
      </w:r>
      <w:r>
        <w:rPr>
          <w:rFonts w:ascii="Calibri" w:hAnsi="Calibri" w:cs="Calibri"/>
          <w:b w:val="0"/>
          <w:i w:val="0"/>
          <w:color w:val="000000"/>
          <w:sz w:val="22"/>
          <w:u w:val="none"/>
        </w:rPr>
        <w:t>All Netramind Personnel (Reporter) or Designee</w:t>
      </w:r>
    </w:p>
    <w:p>
      <w:pPr>
        <w:tabs>
          <w:tab w:pos="1872" w:val="left"/>
        </w:tabs>
        <w:spacing w:after="80"/>
        <w:ind w:left="1872" w:hanging="576"/>
      </w:pPr>
      <w:r>
        <w:rPr>
          <w:rFonts w:ascii="Calibri" w:hAnsi="Calibri" w:cs="Calibri"/>
          <w:b w:val="0"/>
          <w:i w:val="0"/>
          <w:color w:val="000000"/>
          <w:sz w:val="22"/>
          <w:u w:val="none"/>
        </w:rPr>
        <w:t>5.1.1</w:t>
        <w:tab/>
      </w:r>
      <w:r>
        <w:rPr>
          <w:rFonts w:ascii="Calibri" w:hAnsi="Calibri" w:cs="Calibri"/>
          <w:b w:val="0"/>
          <w:i w:val="0"/>
          <w:color w:val="000000"/>
          <w:sz w:val="22"/>
          <w:u w:val="none"/>
        </w:rPr>
        <w:t>Immediately notify their Department Head/ Functional Area (FA) Manager/ Quality Assurance (QA) of any identification or suspicion of potential fraud and/or serious misconduct.</w:t>
      </w:r>
    </w:p>
    <w:p>
      <w:pPr>
        <w:tabs>
          <w:tab w:pos="1296" w:val="left"/>
        </w:tabs>
        <w:spacing w:after="80"/>
        <w:ind w:left="1296" w:hanging="576"/>
      </w:pPr>
      <w:r>
        <w:rPr>
          <w:rFonts w:ascii="Calibri" w:hAnsi="Calibri" w:cs="Calibri"/>
          <w:b w:val="0"/>
          <w:i w:val="0"/>
          <w:color w:val="000000"/>
          <w:sz w:val="22"/>
          <w:u w:val="none"/>
        </w:rPr>
        <w:t>5.2</w:t>
        <w:tab/>
      </w:r>
      <w:r>
        <w:rPr>
          <w:rFonts w:ascii="Calibri" w:hAnsi="Calibri" w:cs="Calibri"/>
          <w:b w:val="0"/>
          <w:i w:val="0"/>
          <w:color w:val="000000"/>
          <w:sz w:val="22"/>
          <w:u w:val="none"/>
        </w:rPr>
        <w:t>Senior Management or Designee</w:t>
      </w:r>
    </w:p>
    <w:p>
      <w:pPr>
        <w:tabs>
          <w:tab w:pos="1872" w:val="left"/>
        </w:tabs>
        <w:spacing w:after="80"/>
        <w:ind w:left="1872" w:hanging="576"/>
      </w:pPr>
      <w:r>
        <w:rPr>
          <w:rFonts w:ascii="Calibri" w:hAnsi="Calibri" w:cs="Calibri"/>
          <w:b w:val="0"/>
          <w:i w:val="0"/>
          <w:color w:val="000000"/>
          <w:sz w:val="22"/>
          <w:u w:val="none"/>
        </w:rPr>
        <w:t>5.2.1</w:t>
        <w:tab/>
      </w:r>
      <w:r>
        <w:rPr>
          <w:rFonts w:ascii="Calibri" w:hAnsi="Calibri" w:cs="Calibri"/>
          <w:b w:val="0"/>
          <w:i w:val="0"/>
          <w:color w:val="000000"/>
          <w:sz w:val="22"/>
          <w:u w:val="none"/>
        </w:rPr>
        <w:t>Provide process oversight in the handling of potential fraud and/or serious misconduct.</w:t>
      </w:r>
    </w:p>
    <w:p>
      <w:pPr>
        <w:tabs>
          <w:tab w:pos="1296" w:val="left"/>
        </w:tabs>
        <w:spacing w:after="80"/>
        <w:ind w:left="1296" w:hanging="576"/>
      </w:pPr>
      <w:r>
        <w:rPr>
          <w:rFonts w:ascii="Calibri" w:hAnsi="Calibri" w:cs="Calibri"/>
          <w:b w:val="0"/>
          <w:i w:val="0"/>
          <w:color w:val="000000"/>
          <w:sz w:val="22"/>
          <w:u w:val="none"/>
        </w:rPr>
        <w:t>5.3</w:t>
        <w:tab/>
      </w:r>
      <w:r>
        <w:rPr>
          <w:rFonts w:ascii="Calibri" w:hAnsi="Calibri" w:cs="Calibri"/>
          <w:b w:val="0"/>
          <w:i w:val="0"/>
          <w:color w:val="000000"/>
          <w:sz w:val="22"/>
          <w:u w:val="none"/>
        </w:rPr>
        <w:t>Clinical Operations (Clinical Trial Manager [CTMs] and Clinical Research Associate [CRAs]) or Designee</w:t>
      </w:r>
    </w:p>
    <w:p>
      <w:pPr>
        <w:tabs>
          <w:tab w:pos="1872" w:val="left"/>
        </w:tabs>
        <w:spacing w:after="80"/>
        <w:ind w:left="1872" w:hanging="576"/>
      </w:pPr>
      <w:r>
        <w:rPr>
          <w:rFonts w:ascii="Calibri" w:hAnsi="Calibri" w:cs="Calibri"/>
          <w:b w:val="0"/>
          <w:i w:val="0"/>
          <w:color w:val="000000"/>
          <w:sz w:val="22"/>
          <w:u w:val="none"/>
        </w:rPr>
        <w:t>5.3.1</w:t>
        <w:tab/>
      </w:r>
      <w:r>
        <w:rPr>
          <w:rFonts w:ascii="Calibri" w:hAnsi="Calibri" w:cs="Calibri"/>
          <w:b w:val="0"/>
          <w:i w:val="0"/>
          <w:color w:val="000000"/>
          <w:sz w:val="22"/>
          <w:u w:val="none"/>
        </w:rPr>
        <w:t>Notify QA immediately after becoming aware of suspected fraud and/or serious misconduct related to a Netramind-sponsored clinical trial.</w:t>
      </w:r>
    </w:p>
    <w:p>
      <w:pPr>
        <w:tabs>
          <w:tab w:pos="1296" w:val="left"/>
        </w:tabs>
        <w:spacing w:after="80"/>
        <w:ind w:left="1296" w:hanging="576"/>
      </w:pPr>
      <w:r>
        <w:rPr>
          <w:rFonts w:ascii="Calibri" w:hAnsi="Calibri" w:cs="Calibri"/>
          <w:b w:val="0"/>
          <w:i w:val="0"/>
          <w:color w:val="000000"/>
          <w:sz w:val="22"/>
          <w:u w:val="none"/>
        </w:rPr>
        <w:t>5.4</w:t>
        <w:tab/>
      </w:r>
      <w:r>
        <w:rPr>
          <w:rFonts w:ascii="Calibri" w:hAnsi="Calibri" w:cs="Calibri"/>
          <w:b w:val="0"/>
          <w:i w:val="0"/>
          <w:color w:val="000000"/>
          <w:sz w:val="22"/>
          <w:u w:val="none"/>
        </w:rPr>
        <w:t>Functional Area (FA) Management or Designee</w:t>
      </w:r>
    </w:p>
    <w:p>
      <w:pPr>
        <w:tabs>
          <w:tab w:pos="1872" w:val="left"/>
        </w:tabs>
        <w:spacing w:after="80"/>
        <w:ind w:left="1872" w:hanging="576"/>
      </w:pPr>
      <w:r>
        <w:rPr>
          <w:rFonts w:ascii="Calibri" w:hAnsi="Calibri" w:cs="Calibri"/>
          <w:b w:val="0"/>
          <w:i w:val="0"/>
          <w:color w:val="000000"/>
          <w:sz w:val="22"/>
          <w:u w:val="none"/>
        </w:rPr>
        <w:t>5.4.1</w:t>
        <w:tab/>
      </w:r>
      <w:r>
        <w:rPr>
          <w:rFonts w:ascii="Calibri" w:hAnsi="Calibri" w:cs="Calibri"/>
          <w:b w:val="0"/>
          <w:i w:val="0"/>
          <w:color w:val="000000"/>
          <w:sz w:val="22"/>
          <w:u w:val="none"/>
        </w:rPr>
        <w:t>Coordinate with QA and Legal to review and assess potential cases of fraud and/or serious misconduct and determine actions and timelines for completion.</w:t>
      </w:r>
    </w:p>
    <w:p>
      <w:pPr>
        <w:tabs>
          <w:tab w:pos="1872" w:val="left"/>
        </w:tabs>
        <w:spacing w:after="80"/>
        <w:ind w:left="1872" w:hanging="576"/>
      </w:pPr>
      <w:r>
        <w:rPr>
          <w:rFonts w:ascii="Calibri" w:hAnsi="Calibri" w:cs="Calibri"/>
          <w:b w:val="0"/>
          <w:i w:val="0"/>
          <w:color w:val="000000"/>
          <w:sz w:val="22"/>
          <w:u w:val="none"/>
        </w:rPr>
        <w:t>5.4.2</w:t>
        <w:tab/>
      </w:r>
      <w:r>
        <w:rPr>
          <w:rFonts w:ascii="Calibri" w:hAnsi="Calibri" w:cs="Calibri"/>
          <w:b w:val="0"/>
          <w:i w:val="0"/>
          <w:color w:val="000000"/>
          <w:sz w:val="22"/>
          <w:u w:val="none"/>
        </w:rPr>
        <w:t>Assist QA and Legal to complete FRM-029-01 Fraud and/or Serious Misconduct Report Form.</w:t>
      </w:r>
    </w:p>
    <w:p>
      <w:pPr>
        <w:tabs>
          <w:tab w:pos="1296" w:val="left"/>
        </w:tabs>
        <w:spacing w:after="80"/>
        <w:ind w:left="1296" w:hanging="576"/>
      </w:pPr>
      <w:r>
        <w:rPr>
          <w:rFonts w:ascii="Calibri" w:hAnsi="Calibri" w:cs="Calibri"/>
          <w:b w:val="0"/>
          <w:i w:val="0"/>
          <w:color w:val="000000"/>
          <w:sz w:val="22"/>
          <w:u w:val="none"/>
        </w:rPr>
        <w:t>5.5</w:t>
        <w:tab/>
      </w:r>
      <w:r>
        <w:rPr>
          <w:rFonts w:ascii="Calibri" w:hAnsi="Calibri" w:cs="Calibri"/>
          <w:b w:val="0"/>
          <w:i w:val="0"/>
          <w:color w:val="000000"/>
          <w:sz w:val="22"/>
          <w:u w:val="none"/>
        </w:rPr>
        <w:t>Quality Assurance (QA) or Designee</w:t>
      </w:r>
    </w:p>
    <w:p>
      <w:pPr>
        <w:tabs>
          <w:tab w:pos="1872" w:val="left"/>
        </w:tabs>
        <w:spacing w:after="80"/>
        <w:ind w:left="1872" w:hanging="576"/>
      </w:pPr>
      <w:r>
        <w:rPr>
          <w:rFonts w:ascii="Calibri" w:hAnsi="Calibri" w:cs="Calibri"/>
          <w:b w:val="0"/>
          <w:i w:val="0"/>
          <w:color w:val="000000"/>
          <w:sz w:val="22"/>
          <w:u w:val="none"/>
        </w:rPr>
        <w:t>5.5.1</w:t>
        <w:tab/>
      </w:r>
      <w:r>
        <w:rPr>
          <w:rFonts w:ascii="Calibri" w:hAnsi="Calibri" w:cs="Calibri"/>
          <w:b w:val="0"/>
          <w:i w:val="0"/>
          <w:color w:val="000000"/>
          <w:sz w:val="22"/>
          <w:u w:val="none"/>
        </w:rPr>
        <w:t>Coordinate with the CTM, CRA, FA Management, Legal, and Head of Quality, to assess reported issues and to determine a course of action and timelines for completion.</w:t>
      </w:r>
    </w:p>
    <w:p>
      <w:pPr>
        <w:tabs>
          <w:tab w:pos="1872" w:val="left"/>
        </w:tabs>
        <w:spacing w:after="80"/>
        <w:ind w:left="1872" w:hanging="576"/>
      </w:pPr>
      <w:r>
        <w:rPr>
          <w:rFonts w:ascii="Calibri" w:hAnsi="Calibri" w:cs="Calibri"/>
          <w:b w:val="0"/>
          <w:i w:val="0"/>
          <w:color w:val="000000"/>
          <w:sz w:val="22"/>
          <w:u w:val="none"/>
        </w:rPr>
        <w:t>5.5.2</w:t>
        <w:tab/>
      </w:r>
      <w:r>
        <w:rPr>
          <w:rFonts w:ascii="Calibri" w:hAnsi="Calibri" w:cs="Calibri"/>
          <w:b w:val="0"/>
          <w:i w:val="0"/>
          <w:color w:val="000000"/>
          <w:sz w:val="22"/>
          <w:u w:val="none"/>
        </w:rPr>
        <w:t>Escalate any suspected instances that warrant further investigation to Senior Management and the Head of Quality.</w:t>
      </w:r>
    </w:p>
    <w:p>
      <w:pPr>
        <w:tabs>
          <w:tab w:pos="1872" w:val="left"/>
        </w:tabs>
        <w:spacing w:after="80"/>
        <w:ind w:left="1872" w:hanging="576"/>
      </w:pPr>
      <w:r>
        <w:rPr>
          <w:rFonts w:ascii="Calibri" w:hAnsi="Calibri" w:cs="Calibri"/>
          <w:b w:val="0"/>
          <w:i w:val="0"/>
          <w:color w:val="000000"/>
          <w:sz w:val="22"/>
          <w:u w:val="none"/>
        </w:rPr>
        <w:t>5.5.3</w:t>
        <w:tab/>
      </w:r>
      <w:r>
        <w:rPr>
          <w:rFonts w:ascii="Calibri" w:hAnsi="Calibri" w:cs="Calibri"/>
          <w:b w:val="0"/>
          <w:i w:val="0"/>
          <w:color w:val="000000"/>
          <w:sz w:val="22"/>
          <w:u w:val="none"/>
        </w:rPr>
        <w:t>Coordinate with the CTM, CRA, FA Management, and Legal to prepare the Fraud and/or Serious Misconduct Report Form.</w:t>
      </w:r>
    </w:p>
    <w:p>
      <w:pPr>
        <w:tabs>
          <w:tab w:pos="1872" w:val="left"/>
        </w:tabs>
        <w:spacing w:after="80"/>
        <w:ind w:left="1872" w:hanging="576"/>
      </w:pPr>
      <w:r>
        <w:rPr>
          <w:rFonts w:ascii="Calibri" w:hAnsi="Calibri" w:cs="Calibri"/>
          <w:b w:val="0"/>
          <w:i w:val="0"/>
          <w:color w:val="000000"/>
          <w:sz w:val="22"/>
          <w:u w:val="none"/>
        </w:rPr>
        <w:t>5.5.4</w:t>
        <w:tab/>
      </w:r>
      <w:r>
        <w:rPr>
          <w:rFonts w:ascii="Calibri" w:hAnsi="Calibri" w:cs="Calibri"/>
          <w:b w:val="0"/>
          <w:i w:val="0"/>
          <w:color w:val="000000"/>
          <w:sz w:val="22"/>
          <w:u w:val="none"/>
        </w:rPr>
        <w:t>Maintain Fraud and/or Serious Misconduct Report Forms and associated documentation.</w:t>
      </w:r>
    </w:p>
    <w:p>
      <w:pPr>
        <w:tabs>
          <w:tab w:pos="1296" w:val="left"/>
        </w:tabs>
        <w:spacing w:after="80"/>
        <w:ind w:left="1296" w:hanging="576"/>
      </w:pPr>
      <w:r>
        <w:rPr>
          <w:rFonts w:ascii="Calibri" w:hAnsi="Calibri" w:cs="Calibri"/>
          <w:b w:val="0"/>
          <w:i w:val="0"/>
          <w:color w:val="000000"/>
          <w:sz w:val="22"/>
          <w:u w:val="none"/>
        </w:rPr>
        <w:t>5.6</w:t>
        <w:tab/>
      </w:r>
      <w:r>
        <w:rPr>
          <w:rFonts w:ascii="Calibri" w:hAnsi="Calibri" w:cs="Calibri"/>
          <w:b w:val="0"/>
          <w:i w:val="0"/>
          <w:color w:val="000000"/>
          <w:sz w:val="22"/>
          <w:u w:val="none"/>
        </w:rPr>
        <w:t>Regulatory Affairs (RA) or Designee</w:t>
      </w:r>
    </w:p>
    <w:p>
      <w:pPr>
        <w:tabs>
          <w:tab w:pos="1872" w:val="left"/>
        </w:tabs>
        <w:spacing w:after="80"/>
        <w:ind w:left="1872" w:hanging="576"/>
      </w:pPr>
      <w:r>
        <w:rPr>
          <w:rFonts w:ascii="Calibri" w:hAnsi="Calibri" w:cs="Calibri"/>
          <w:b w:val="0"/>
          <w:i w:val="0"/>
          <w:color w:val="000000"/>
          <w:sz w:val="22"/>
          <w:u w:val="none"/>
        </w:rPr>
        <w:t>5.6.1</w:t>
        <w:tab/>
      </w:r>
      <w:r>
        <w:rPr>
          <w:rFonts w:ascii="Calibri" w:hAnsi="Calibri" w:cs="Calibri"/>
          <w:b w:val="0"/>
          <w:i w:val="0"/>
          <w:color w:val="000000"/>
          <w:sz w:val="22"/>
          <w:u w:val="none"/>
        </w:rPr>
        <w:t>Determine requirements for reporting cases of fraud and/or serious misconduct to regulatory authorities.</w:t>
      </w:r>
    </w:p>
    <w:p>
      <w:pPr>
        <w:tabs>
          <w:tab w:pos="1296" w:val="left"/>
        </w:tabs>
        <w:spacing w:after="80"/>
        <w:ind w:left="1296" w:hanging="576"/>
      </w:pPr>
      <w:r>
        <w:rPr>
          <w:rFonts w:ascii="Calibri" w:hAnsi="Calibri" w:cs="Calibri"/>
          <w:b w:val="0"/>
          <w:i w:val="0"/>
          <w:color w:val="000000"/>
          <w:sz w:val="22"/>
          <w:u w:val="none"/>
        </w:rPr>
        <w:t>5.7</w:t>
        <w:tab/>
      </w:r>
      <w:r>
        <w:rPr>
          <w:rFonts w:ascii="Calibri" w:hAnsi="Calibri" w:cs="Calibri"/>
          <w:b w:val="0"/>
          <w:i w:val="0"/>
          <w:color w:val="000000"/>
          <w:sz w:val="22"/>
          <w:u w:val="none"/>
        </w:rPr>
        <w:t>Legal or Designee</w:t>
      </w:r>
    </w:p>
    <w:p>
      <w:pPr>
        <w:tabs>
          <w:tab w:pos="1872" w:val="left"/>
        </w:tabs>
        <w:spacing w:after="80"/>
        <w:ind w:left="1872" w:hanging="576"/>
      </w:pPr>
      <w:r>
        <w:rPr>
          <w:rFonts w:ascii="Calibri" w:hAnsi="Calibri" w:cs="Calibri"/>
          <w:b w:val="0"/>
          <w:i w:val="0"/>
          <w:color w:val="000000"/>
          <w:sz w:val="22"/>
          <w:u w:val="none"/>
        </w:rPr>
        <w:t>5.7.1</w:t>
        <w:tab/>
      </w:r>
      <w:r>
        <w:rPr>
          <w:rFonts w:ascii="Calibri" w:hAnsi="Calibri" w:cs="Calibri"/>
          <w:b w:val="0"/>
          <w:i w:val="0"/>
          <w:color w:val="000000"/>
          <w:sz w:val="22"/>
          <w:u w:val="none"/>
        </w:rPr>
        <w:t>Coordinate with QA and FA Management to investigate and determine appropriate actions to be taken in accordance with applicable laws, regulations, and/or Netramind policies.</w:t>
      </w:r>
    </w:p>
    <w:p>
      <w:pPr>
        <w:tabs>
          <w:tab w:pos="1872" w:val="left"/>
        </w:tabs>
        <w:spacing w:after="80"/>
        <w:ind w:left="1872" w:hanging="576"/>
      </w:pPr>
      <w:r>
        <w:rPr>
          <w:rFonts w:ascii="Calibri" w:hAnsi="Calibri" w:cs="Calibri"/>
          <w:b w:val="0"/>
          <w:i w:val="0"/>
          <w:color w:val="000000"/>
          <w:sz w:val="22"/>
          <w:u w:val="none"/>
        </w:rPr>
        <w:t>5.7.2</w:t>
        <w:tab/>
      </w:r>
      <w:r>
        <w:rPr>
          <w:rFonts w:ascii="Calibri" w:hAnsi="Calibri" w:cs="Calibri"/>
          <w:b w:val="0"/>
          <w:i w:val="0"/>
          <w:color w:val="000000"/>
          <w:sz w:val="22"/>
          <w:u w:val="none"/>
        </w:rPr>
        <w:t>Assist QA and FA Management to complete the FRM-029-01 Fraud and/or Serious Misconduct Report Form.</w:t>
      </w:r>
    </w:p>
    <w:p>
      <w:pPr>
        <w:keepNext/>
        <w:tabs>
          <w:tab w:pos="504" w:val="left"/>
        </w:tabs>
        <w:spacing w:before="160" w:after="80"/>
      </w:pPr>
      <w:r>
        <w:rPr>
          <w:rFonts w:ascii="Calibri" w:hAnsi="Calibri" w:cs="Calibri"/>
          <w:b/>
          <w:i w:val="0"/>
          <w:color w:val="000000"/>
          <w:sz w:val="22"/>
          <w:u w:val="none"/>
        </w:rPr>
        <w:t>6</w:t>
      </w:r>
      <w:r>
        <w:rPr>
          <w:rFonts w:ascii="Calibri" w:hAnsi="Calibri" w:cs="Calibri"/>
          <w:b/>
          <w:i w:val="0"/>
          <w:color w:val="000000"/>
          <w:sz w:val="22"/>
          <w:u w:val="none"/>
        </w:rPr>
        <w:tab/>
      </w:r>
      <w:r>
        <w:rPr>
          <w:rFonts w:ascii="Calibri" w:hAnsi="Calibri" w:cs="Calibri"/>
          <w:b/>
          <w:i w:val="0"/>
          <w:color w:val="000000"/>
          <w:sz w:val="22"/>
          <w:u w:val="none"/>
        </w:rPr>
        <w:t>PROCEDURE</w:t>
      </w:r>
    </w:p>
    <w:p>
      <w:pPr>
        <w:tabs>
          <w:tab w:pos="1296" w:val="left"/>
        </w:tabs>
        <w:spacing w:after="80"/>
        <w:ind w:left="1296" w:hanging="576"/>
      </w:pPr>
      <w:r>
        <w:rPr>
          <w:rFonts w:ascii="Calibri" w:hAnsi="Calibri" w:cs="Calibri"/>
          <w:b w:val="0"/>
          <w:i w:val="0"/>
          <w:color w:val="000000"/>
          <w:sz w:val="22"/>
          <w:u w:val="none"/>
        </w:rPr>
        <w:t>6.1</w:t>
        <w:tab/>
      </w:r>
      <w:r>
        <w:rPr>
          <w:rFonts w:ascii="Calibri" w:hAnsi="Calibri" w:cs="Calibri"/>
          <w:b w:val="0"/>
          <w:i w:val="0"/>
          <w:color w:val="000000"/>
          <w:sz w:val="22"/>
          <w:u w:val="none"/>
        </w:rPr>
        <w:t>Reported Suspected or Confirmed Cases of Fraud and/or Serious Misconduct/ Noncompliance</w:t>
      </w:r>
    </w:p>
    <w:p>
      <w:pPr>
        <w:tabs>
          <w:tab w:pos="1872" w:val="left"/>
        </w:tabs>
        <w:spacing w:after="80"/>
        <w:ind w:left="1872" w:hanging="576"/>
      </w:pPr>
      <w:r>
        <w:rPr>
          <w:rFonts w:ascii="Calibri" w:hAnsi="Calibri" w:cs="Calibri"/>
          <w:b w:val="0"/>
          <w:i w:val="0"/>
          <w:color w:val="000000"/>
          <w:sz w:val="22"/>
          <w:u w:val="none"/>
        </w:rPr>
        <w:t>6.1.1</w:t>
        <w:tab/>
      </w:r>
      <w:r>
        <w:rPr>
          <w:rFonts w:ascii="Calibri" w:hAnsi="Calibri" w:cs="Calibri"/>
          <w:b w:val="0"/>
          <w:i w:val="0"/>
          <w:color w:val="000000"/>
          <w:sz w:val="22"/>
          <w:u w:val="none"/>
        </w:rPr>
        <w:t>Fraud or serious misconduct/ noncompliance may include, but is not limited to:</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Persistent noncompliance with the approved protocol and/or amendments, GCP, and/or applicable regulatory requirements.</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High incidence of protocol deviations.</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Lack of appropriate study oversight by Principal Investigator (PI).</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Inadequate and/or absence of source data.</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Consistent poor documentation practices.</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Untimely patient visits (weekends, holidays).</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Consistent data inconsistencies.</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Suspected or confirmed falsified data.</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Documentation discrepancies in Informed Consent Forms (ICFs).</w:t>
      </w:r>
    </w:p>
    <w:p>
      <w:pPr>
        <w:tabs>
          <w:tab w:pos="1872" w:val="left"/>
        </w:tabs>
        <w:spacing w:after="80"/>
        <w:ind w:left="1872" w:hanging="576"/>
      </w:pPr>
      <w:r>
        <w:rPr>
          <w:rFonts w:ascii="Calibri" w:hAnsi="Calibri" w:cs="Calibri"/>
          <w:b w:val="0"/>
          <w:i w:val="0"/>
          <w:color w:val="000000"/>
          <w:sz w:val="22"/>
          <w:u w:val="none"/>
        </w:rPr>
        <w:t>6.1.2</w:t>
        <w:tab/>
      </w:r>
      <w:r>
        <w:rPr>
          <w:rFonts w:ascii="Calibri" w:hAnsi="Calibri" w:cs="Calibri"/>
          <w:b w:val="0"/>
          <w:i w:val="0"/>
          <w:color w:val="000000"/>
          <w:sz w:val="22"/>
          <w:u w:val="none"/>
        </w:rPr>
        <w:t>All employees, contractors, and consultants working for Netramind immediately report suspected cases of fraud and/or serious misconduct to Quality Assurance (QA) and their Head of Department by completing FRM-029-01 Fraud and/or Serious Misconduct Report Form.</w:t>
      </w:r>
    </w:p>
    <w:p>
      <w:pPr>
        <w:tabs>
          <w:tab w:pos="1296" w:val="left"/>
        </w:tabs>
        <w:spacing w:after="80"/>
        <w:ind w:left="1296" w:hanging="576"/>
      </w:pPr>
      <w:r>
        <w:rPr>
          <w:rFonts w:ascii="Calibri" w:hAnsi="Calibri" w:cs="Calibri"/>
          <w:b w:val="0"/>
          <w:i w:val="0"/>
          <w:color w:val="000000"/>
          <w:sz w:val="22"/>
          <w:u w:val="none"/>
        </w:rPr>
        <w:t>6.2</w:t>
        <w:tab/>
      </w:r>
      <w:r>
        <w:rPr>
          <w:rFonts w:ascii="Calibri" w:hAnsi="Calibri" w:cs="Calibri"/>
          <w:b w:val="0"/>
          <w:i w:val="0"/>
          <w:color w:val="000000"/>
          <w:sz w:val="22"/>
          <w:u w:val="none"/>
        </w:rPr>
        <w:t>Investigation of Fraud and/or Serious Misconduct/ Noncompliance</w:t>
      </w:r>
    </w:p>
    <w:p>
      <w:pPr>
        <w:tabs>
          <w:tab w:pos="1872" w:val="left"/>
        </w:tabs>
        <w:spacing w:after="80"/>
        <w:ind w:left="1872" w:hanging="576"/>
      </w:pPr>
      <w:r>
        <w:rPr>
          <w:rFonts w:ascii="Calibri" w:hAnsi="Calibri" w:cs="Calibri"/>
          <w:b w:val="0"/>
          <w:i w:val="0"/>
          <w:color w:val="000000"/>
          <w:sz w:val="22"/>
          <w:u w:val="none"/>
        </w:rPr>
        <w:t>6.2.1</w:t>
        <w:tab/>
      </w:r>
      <w:r>
        <w:rPr>
          <w:rFonts w:ascii="Calibri" w:hAnsi="Calibri" w:cs="Calibri"/>
          <w:b w:val="0"/>
          <w:i w:val="0"/>
          <w:color w:val="000000"/>
          <w:sz w:val="22"/>
          <w:u w:val="none"/>
        </w:rPr>
        <w:t>QA assigns a unique, sequential Fraud/ Serious Misconduct (FSM) Number in the following format: [FSM-YY-XXX], where:</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YY – denotes the last two (2) digits of the current year</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XXX – denotes a three-digit sequential tracking number beginning with 001. This number resets each year to begin with 001.</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Ex: FSM-23-001 is assigned to the first potential case of fraud/ serious misconduct identified in 2023.</w:t>
      </w:r>
    </w:p>
    <w:p>
      <w:pPr>
        <w:tabs>
          <w:tab w:pos="1872" w:val="left"/>
        </w:tabs>
        <w:spacing w:after="80"/>
        <w:ind w:left="1872" w:hanging="576"/>
      </w:pPr>
      <w:r>
        <w:rPr>
          <w:rFonts w:ascii="Calibri" w:hAnsi="Calibri" w:cs="Calibri"/>
          <w:b w:val="0"/>
          <w:i w:val="0"/>
          <w:color w:val="000000"/>
          <w:sz w:val="22"/>
          <w:u w:val="none"/>
        </w:rPr>
        <w:t>6.2.2</w:t>
        <w:tab/>
      </w:r>
      <w:r>
        <w:rPr>
          <w:rFonts w:ascii="Calibri" w:hAnsi="Calibri" w:cs="Calibri"/>
          <w:b w:val="0"/>
          <w:i w:val="0"/>
          <w:color w:val="000000"/>
          <w:sz w:val="22"/>
          <w:u w:val="none"/>
        </w:rPr>
        <w:t>QA collaborates with relevant FA Management, Legal (if necessary), Regulatory Affairs (RA), and if applicable, the CRO to assess the potential case of fraud and/or serious misconduct.</w:t>
      </w:r>
    </w:p>
    <w:p>
      <w:pPr>
        <w:tabs>
          <w:tab w:pos="2448" w:val="left"/>
        </w:tabs>
        <w:spacing w:after="80"/>
        <w:ind w:left="2448" w:hanging="576"/>
      </w:pPr>
      <w:r>
        <w:rPr>
          <w:rFonts w:ascii="Calibri" w:hAnsi="Calibri" w:cs="Calibri"/>
          <w:b w:val="0"/>
          <w:i w:val="0"/>
          <w:color w:val="000000"/>
          <w:sz w:val="22"/>
          <w:u w:val="none"/>
        </w:rPr>
        <w:t>6.2.2.1</w:t>
        <w:tab/>
      </w:r>
      <w:r>
        <w:rPr>
          <w:rFonts w:ascii="Calibri" w:hAnsi="Calibri" w:cs="Calibri"/>
          <w:b w:val="0"/>
          <w:i w:val="0"/>
          <w:color w:val="000000"/>
          <w:sz w:val="22"/>
          <w:u w:val="none"/>
        </w:rPr>
        <w:t>If the assessment reveals that the issue does not meet the criteria in Section 6.1.1 of this SOP, QA documents this assessment, submits it to the Head of Quality for approval, and archives the assessment in QA secure files.</w:t>
      </w:r>
    </w:p>
    <w:p>
      <w:pPr>
        <w:tabs>
          <w:tab w:pos="2448" w:val="left"/>
        </w:tabs>
        <w:spacing w:after="80"/>
        <w:ind w:left="2448" w:hanging="576"/>
      </w:pPr>
      <w:r>
        <w:rPr>
          <w:rFonts w:ascii="Calibri" w:hAnsi="Calibri" w:cs="Calibri"/>
          <w:b w:val="0"/>
          <w:i w:val="0"/>
          <w:color w:val="000000"/>
          <w:sz w:val="22"/>
          <w:u w:val="none"/>
        </w:rPr>
        <w:t>6.2.2.2</w:t>
        <w:tab/>
      </w:r>
      <w:r>
        <w:rPr>
          <w:rFonts w:ascii="Calibri" w:hAnsi="Calibri" w:cs="Calibri"/>
          <w:b w:val="0"/>
          <w:i w:val="0"/>
          <w:color w:val="000000"/>
          <w:sz w:val="22"/>
          <w:u w:val="none"/>
        </w:rPr>
        <w:t>If the assessment reveals that the issue does meet the criteria in Section 6.1.1 of this SOP, the affected FA Management follow Section 6.3.</w:t>
      </w:r>
    </w:p>
    <w:p>
      <w:pPr>
        <w:tabs>
          <w:tab w:pos="1296" w:val="left"/>
        </w:tabs>
        <w:spacing w:after="80"/>
        <w:ind w:left="1296" w:hanging="576"/>
      </w:pPr>
      <w:r>
        <w:rPr>
          <w:rFonts w:ascii="Calibri" w:hAnsi="Calibri" w:cs="Calibri"/>
          <w:b w:val="0"/>
          <w:i w:val="0"/>
          <w:color w:val="000000"/>
          <w:sz w:val="22"/>
          <w:u w:val="none"/>
        </w:rPr>
        <w:t>6.3</w:t>
        <w:tab/>
      </w:r>
      <w:r>
        <w:rPr>
          <w:rFonts w:ascii="Calibri" w:hAnsi="Calibri" w:cs="Calibri"/>
          <w:b w:val="0"/>
          <w:i w:val="0"/>
          <w:color w:val="000000"/>
          <w:sz w:val="22"/>
          <w:u w:val="none"/>
        </w:rPr>
        <w:t>Handling Confirmed Cases of Fraud and/or Serious Misconduct</w:t>
      </w:r>
    </w:p>
    <w:p>
      <w:pPr>
        <w:tabs>
          <w:tab w:pos="1872" w:val="left"/>
        </w:tabs>
        <w:spacing w:after="80"/>
        <w:ind w:left="1872" w:hanging="576"/>
      </w:pPr>
      <w:r>
        <w:rPr>
          <w:rFonts w:ascii="Calibri" w:hAnsi="Calibri" w:cs="Calibri"/>
          <w:b w:val="0"/>
          <w:i w:val="0"/>
          <w:color w:val="000000"/>
          <w:sz w:val="22"/>
          <w:u w:val="none"/>
        </w:rPr>
        <w:t>6.3.1</w:t>
        <w:tab/>
      </w:r>
      <w:r>
        <w:rPr>
          <w:rFonts w:ascii="Calibri" w:hAnsi="Calibri" w:cs="Calibri"/>
          <w:b w:val="0"/>
          <w:i w:val="0"/>
          <w:color w:val="000000"/>
          <w:sz w:val="22"/>
          <w:u w:val="none"/>
        </w:rPr>
        <w:t>QA, relevant FA Management, and RA meet to discuss the following, as applicable:</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The impact of fraud and/or serious misconduct on subject safety and data integrity</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If any further investigation is required (ex: if the PI/ site staff are conducting any other Netramind clinical trials)</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The status of site data</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Whether regulatory agency notification and involvement is necessary</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Strategies to avoid recurrence of fraud and/or serious misconduct</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Further monitoring visits to obtain additional information.</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Data checks by Data Management and/or Biostatistics and SAS Programming.</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Conducting a For-cause Audit of the investigator site or CRO in question.</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Terminating the investigator site contract or CRO participation in the clinical trial.</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Terminating employment (or the consultant/ contractor relationship).</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Development and execution of a Corrective and Preventive Action (CAPA) Plan according to SOP-007 CAPA Management</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000000"/>
          <w:sz w:val="22"/>
          <w:u w:val="none"/>
        </w:rPr>
        <w:t>Timelines for completion of any necessary action items.</w:t>
      </w:r>
    </w:p>
    <w:p>
      <w:pPr>
        <w:tabs>
          <w:tab w:pos="1872" w:val="left"/>
        </w:tabs>
        <w:spacing w:after="80"/>
        <w:ind w:left="1872" w:hanging="576"/>
      </w:pPr>
      <w:r>
        <w:rPr>
          <w:rFonts w:ascii="Calibri" w:hAnsi="Calibri" w:cs="Calibri"/>
          <w:b w:val="0"/>
          <w:i w:val="0"/>
          <w:color w:val="000000"/>
          <w:sz w:val="22"/>
          <w:u w:val="none"/>
        </w:rPr>
        <w:t>6.3.2</w:t>
        <w:tab/>
      </w:r>
      <w:r>
        <w:rPr>
          <w:rFonts w:ascii="Calibri" w:hAnsi="Calibri" w:cs="Calibri"/>
          <w:b w:val="0"/>
          <w:i w:val="0"/>
          <w:color w:val="000000"/>
          <w:sz w:val="22"/>
          <w:u w:val="none"/>
        </w:rPr>
        <w:t>QA briefs Netramind Senior Management of the investigation findings, conclusions, and recommendations for action.</w:t>
      </w:r>
    </w:p>
    <w:p>
      <w:pPr>
        <w:tabs>
          <w:tab w:pos="1872" w:val="left"/>
        </w:tabs>
        <w:spacing w:after="80"/>
        <w:ind w:left="1872" w:hanging="576"/>
      </w:pPr>
      <w:r>
        <w:rPr>
          <w:rFonts w:ascii="Calibri" w:hAnsi="Calibri" w:cs="Calibri"/>
          <w:b w:val="0"/>
          <w:i w:val="0"/>
          <w:color w:val="000000"/>
          <w:sz w:val="22"/>
          <w:u w:val="none"/>
        </w:rPr>
        <w:t>6.3.3</w:t>
        <w:tab/>
      </w:r>
      <w:r>
        <w:rPr>
          <w:rFonts w:ascii="Calibri" w:hAnsi="Calibri" w:cs="Calibri"/>
          <w:b w:val="0"/>
          <w:i w:val="0"/>
          <w:color w:val="000000"/>
          <w:sz w:val="22"/>
          <w:u w:val="none"/>
        </w:rPr>
        <w:t>All discussions, meeting minutes, and decisions are captured on the FRM-029-01 Fraud and/or Serious Misconduct Report Form.</w:t>
      </w:r>
    </w:p>
    <w:p>
      <w:pPr>
        <w:tabs>
          <w:tab w:pos="1296" w:val="left"/>
        </w:tabs>
        <w:spacing w:after="80"/>
        <w:ind w:left="1296" w:hanging="576"/>
      </w:pPr>
      <w:r>
        <w:rPr>
          <w:rFonts w:ascii="Calibri" w:hAnsi="Calibri" w:cs="Calibri"/>
          <w:b w:val="0"/>
          <w:i w:val="0"/>
          <w:color w:val="000000"/>
          <w:sz w:val="22"/>
          <w:u w:val="none"/>
        </w:rPr>
        <w:t>6.4</w:t>
        <w:tab/>
      </w:r>
      <w:r>
        <w:rPr>
          <w:rFonts w:ascii="Calibri" w:hAnsi="Calibri" w:cs="Calibri"/>
          <w:b w:val="0"/>
          <w:i w:val="0"/>
          <w:color w:val="000000"/>
          <w:sz w:val="22"/>
          <w:u w:val="none"/>
        </w:rPr>
        <w:t>Follow-up On Confirmed Cases of Fraud and/or Serious Misconduct</w:t>
      </w:r>
    </w:p>
    <w:p>
      <w:pPr>
        <w:tabs>
          <w:tab w:pos="1872" w:val="left"/>
        </w:tabs>
        <w:spacing w:after="80"/>
        <w:ind w:left="1872" w:hanging="576"/>
      </w:pPr>
      <w:r>
        <w:rPr>
          <w:rFonts w:ascii="Calibri" w:hAnsi="Calibri" w:cs="Calibri"/>
          <w:b w:val="0"/>
          <w:i w:val="0"/>
          <w:color w:val="000000"/>
          <w:sz w:val="22"/>
          <w:u w:val="none"/>
        </w:rPr>
        <w:t>6.4.1</w:t>
        <w:tab/>
      </w:r>
      <w:r>
        <w:rPr>
          <w:rFonts w:ascii="Calibri" w:hAnsi="Calibri" w:cs="Calibri"/>
          <w:b w:val="0"/>
          <w:i w:val="0"/>
          <w:color w:val="000000"/>
          <w:sz w:val="22"/>
          <w:u w:val="none"/>
        </w:rPr>
        <w:t>QA collaborates with RA to report investigation findings, conclusions, and recommendations for action to the appropriate regulatory authorities, if applicable.</w:t>
      </w:r>
    </w:p>
    <w:p>
      <w:pPr>
        <w:tabs>
          <w:tab w:pos="1872" w:val="left"/>
        </w:tabs>
        <w:spacing w:after="80"/>
        <w:ind w:left="1872" w:hanging="576"/>
      </w:pPr>
      <w:r>
        <w:rPr>
          <w:rFonts w:ascii="Calibri" w:hAnsi="Calibri" w:cs="Calibri"/>
          <w:b w:val="0"/>
          <w:i w:val="0"/>
          <w:color w:val="000000"/>
          <w:sz w:val="22"/>
          <w:u w:val="none"/>
        </w:rPr>
        <w:t>6.4.2</w:t>
        <w:tab/>
      </w:r>
      <w:r>
        <w:rPr>
          <w:rFonts w:ascii="Calibri" w:hAnsi="Calibri" w:cs="Calibri"/>
          <w:b w:val="0"/>
          <w:i w:val="0"/>
          <w:color w:val="000000"/>
          <w:sz w:val="22"/>
          <w:u w:val="none"/>
        </w:rPr>
        <w:t>QA archives FRM-029-01 Fraud and/or Serious Misconduct Report Form and all associated documentation in QA secure files.</w:t>
      </w:r>
    </w:p>
    <w:p>
      <w:pPr>
        <w:tabs>
          <w:tab w:pos="1872" w:val="left"/>
        </w:tabs>
        <w:spacing w:after="80"/>
        <w:ind w:left="1872" w:hanging="576"/>
      </w:pPr>
      <w:r>
        <w:rPr>
          <w:rFonts w:ascii="Calibri" w:hAnsi="Calibri" w:cs="Calibri"/>
          <w:b w:val="0"/>
          <w:i w:val="0"/>
          <w:color w:val="000000"/>
          <w:sz w:val="22"/>
          <w:u w:val="none"/>
        </w:rPr>
        <w:t>6.4.3</w:t>
        <w:tab/>
      </w:r>
      <w:r>
        <w:rPr>
          <w:rFonts w:ascii="Calibri" w:hAnsi="Calibri" w:cs="Calibri"/>
          <w:b w:val="0"/>
          <w:i w:val="0"/>
          <w:color w:val="000000"/>
          <w:sz w:val="22"/>
          <w:u w:val="none"/>
        </w:rPr>
        <w:t>Respective FA Management ensures that FRM-029-01 Fraud and/or Serious Misconduct Report Form and related materials are filed in the Trial Master File (TMF).</w:t>
      </w:r>
    </w:p>
    <w:p>
      <w:pPr>
        <w:tabs>
          <w:tab w:pos="1872" w:val="left"/>
        </w:tabs>
        <w:spacing w:after="80"/>
        <w:ind w:left="1872" w:hanging="576"/>
      </w:pPr>
      <w:r>
        <w:rPr>
          <w:rFonts w:ascii="Calibri" w:hAnsi="Calibri" w:cs="Calibri"/>
          <w:b w:val="0"/>
          <w:i w:val="0"/>
          <w:color w:val="000000"/>
          <w:sz w:val="22"/>
          <w:u w:val="none"/>
        </w:rPr>
        <w:t>6.4.4</w:t>
        <w:tab/>
      </w:r>
      <w:r>
        <w:rPr>
          <w:rFonts w:ascii="Calibri" w:hAnsi="Calibri" w:cs="Calibri"/>
          <w:b w:val="0"/>
          <w:i w:val="0"/>
          <w:color w:val="000000"/>
          <w:sz w:val="22"/>
          <w:u w:val="none"/>
        </w:rPr>
        <w:t>If the Fraud and/or Serious Misconduct Investigation involves Netramind personnel, HR files FRM-029-01 Fraud and/or Serious Misconduct Report Form and associated documentation in HR secure files.</w:t>
      </w:r>
    </w:p>
    <w:p>
      <w:pPr>
        <w:keepNext/>
        <w:tabs>
          <w:tab w:pos="504" w:val="left"/>
        </w:tabs>
        <w:spacing w:before="160" w:after="80"/>
      </w:pPr>
      <w:r>
        <w:rPr>
          <w:rFonts w:ascii="Calibri" w:hAnsi="Calibri" w:cs="Calibri"/>
          <w:b/>
          <w:i w:val="0"/>
          <w:color w:val="000000"/>
          <w:sz w:val="22"/>
          <w:u w:val="none"/>
        </w:rPr>
        <w:t>7</w:t>
      </w:r>
      <w:r>
        <w:rPr>
          <w:rFonts w:ascii="Calibri" w:hAnsi="Calibri" w:cs="Calibri"/>
          <w:b/>
          <w:i w:val="0"/>
          <w:color w:val="000000"/>
          <w:sz w:val="22"/>
          <w:u w:val="none"/>
        </w:rPr>
        <w:tab/>
      </w:r>
      <w:r>
        <w:rPr>
          <w:rFonts w:ascii="Calibri" w:hAnsi="Calibri" w:cs="Calibri"/>
          <w:b/>
          <w:i w:val="0"/>
          <w:color w:val="000000"/>
          <w:sz w:val="22"/>
          <w:u w:val="none"/>
        </w:rPr>
        <w:t>ATTACHMENTS</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C00000"/>
          <w:sz w:val="22"/>
          <w:u w:val="none"/>
        </w:rPr>
        <w:t>FRM-029-01 Fraud/ Serious Misconduct Report Form</w:t>
      </w:r>
    </w:p>
    <w:p>
      <w:pPr>
        <w:keepNext/>
        <w:tabs>
          <w:tab w:pos="504" w:val="left"/>
        </w:tabs>
        <w:spacing w:before="160" w:after="80"/>
      </w:pPr>
      <w:r>
        <w:rPr>
          <w:rFonts w:ascii="Calibri" w:hAnsi="Calibri" w:cs="Calibri"/>
          <w:b/>
          <w:i w:val="0"/>
          <w:color w:val="000000"/>
          <w:sz w:val="22"/>
          <w:u w:val="none"/>
        </w:rPr>
        <w:t>8</w:t>
      </w:r>
      <w:r>
        <w:rPr>
          <w:rFonts w:ascii="Calibri" w:hAnsi="Calibri" w:cs="Calibri"/>
          <w:b/>
          <w:i w:val="0"/>
          <w:color w:val="000000"/>
          <w:sz w:val="22"/>
          <w:u w:val="none"/>
        </w:rPr>
        <w:tab/>
      </w:r>
      <w:r>
        <w:rPr>
          <w:rFonts w:ascii="Calibri" w:hAnsi="Calibri" w:cs="Calibri"/>
          <w:b/>
          <w:i w:val="0"/>
          <w:color w:val="000000"/>
          <w:sz w:val="22"/>
          <w:u w:val="none"/>
        </w:rPr>
        <w:t>REVISION HISTORY</w:t>
      </w:r>
    </w:p>
    <w:p>
      <w:pPr>
        <w:spacing w:after="120"/>
        <w:ind w:left="504"/>
      </w:pPr>
      <w:r>
        <w:rPr>
          <w:rFonts w:ascii="Calibri" w:hAnsi="Calibri" w:cs="Calibri"/>
          <w:b w:val="0"/>
          <w:i w:val="0"/>
          <w:color w:val="000000"/>
          <w:sz w:val="22"/>
          <w:u w:val="none"/>
        </w:rPr>
        <w:t>Version Number Date Summary of Change(s) 01 22-MAY-2026 New Document [X.0] [DD-MMM-YYYY] [Insert a summary of the changes] SIGNATURE PAGE [ADD ADDITIONAL ROWS AS NEEDED] Author: NAME TITLE SIGNATURE DATE DD-MMM-YYYY Justin Shaka Fractional COO Reviewer: NAME TITLE SIGNATURE DATE Jay Chhablani President Approver: NAME TITLE SIGNATURE DATE Sandeep Chandra Director of AI Bollepalli</w:t>
      </w:r>
    </w:p>
    <w:sectPr w:rsidR="00FC693F" w:rsidRPr="0006063C" w:rsidSect="00034616">
      <w:headerReference w:type="default" r:id="rId9"/>
      <w:footerReference w:type="default" r:id="rId10"/>
      <w:pgSz w:w="12240" w:h="15840"/>
      <w:pgMar w:top="2304"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000000"/>
        <w:sz w:val="18"/>
        <w:u w:val="none"/>
      </w:rPr>
      <w:t>THIS DOCUMENT CONTAINS CONFIDENTIAL AND PROPRIETARY INFORMATION</w:t>
    </w:r>
  </w:p>
  <w:p>
    <w:pPr>
      <w:jc w:val="right"/>
    </w:pPr>
    <w:r>
      <w:rPr>
        <w:rFonts w:ascii="Calibri" w:hAnsi="Calibri" w:cs="Calibri"/>
        <w:b w:val="0"/>
        <w:i w:val="0"/>
        <w:color w:val="000000"/>
        <w:sz w:val="22"/>
        <w:u w:val="none"/>
      </w:rPr>
      <w:t xml:space="preserve">Page </w:t>
    </w:r>
    <w:r>
      <w:rPr>
        <w:rFonts w:ascii="Calibri" w:hAnsi="Calibri" w:cs="Calibri"/>
        <w:b w:val="0"/>
        <w:i w:val="0"/>
        <w:color w:val="000000"/>
        <w:sz w:val="22"/>
        <w:u w:val="none"/>
      </w:rPr>
      <w:fldChar w:fldCharType="begin"/>
      <w:instrText xml:space="preserve">PAGE</w:instrText>
      <w:fldChar w:fldCharType="end"/>
    </w:r>
    <w:r>
      <w:rPr>
        <w:rFonts w:ascii="Calibri" w:hAnsi="Calibri" w:cs="Calibri"/>
        <w:b w:val="0"/>
        <w:i w:val="0"/>
        <w:color w:val="000000"/>
        <w:sz w:val="22"/>
        <w:u w:val="none"/>
      </w:rPr>
      <w:t xml:space="preserve"> of </w:t>
    </w:r>
    <w:r>
      <w:rPr>
        <w:rFonts w:ascii="Calibri" w:hAnsi="Calibri" w:cs="Calibri"/>
        <w:b w:val="0"/>
        <w:i w:val="0"/>
        <w:color w:val="000000"/>
        <w:sz w:val="22"/>
        <w:u w:val="none"/>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Layout w:type="fixed"/>
      <w:tblCellMar>
        <w:top w:w="0" w:type="dxa"/>
        <w:start w:w="0" w:type="dxa"/>
        <w:bottom w:w="0" w:type="dxa"/>
        <w:end w:w="0" w:type="dxa"/>
        <w:left w:w="0" w:type="dxa"/>
        <w:right w:w="0" w:type="dxa"/>
      </w:tblCellMar>
    </w:tblPr>
    <w:tblGrid>
      <w:gridCol w:w="4608"/>
      <w:gridCol w:w="4608"/>
    </w:tblGrid>
    <w:tr>
      <w:tc>
        <w:tcPr>
          <w:tcW w:type="dxa" w:w="3744"/>
          <w:vAlign w:val="center"/>
        </w:tcPr>
        <w:p>
          <w:r>
            <w:drawing>
              <wp:inline xmlns:a="http://schemas.openxmlformats.org/drawingml/2006/main" xmlns:pic="http://schemas.openxmlformats.org/drawingml/2006/picture">
                <wp:extent cx="2194560" cy="432987"/>
                <wp:docPr id="1" name="Picture 1"/>
                <wp:cNvGraphicFramePr>
                  <a:graphicFrameLocks noChangeAspect="1"/>
                </wp:cNvGraphicFramePr>
                <a:graphic>
                  <a:graphicData uri="http://schemas.openxmlformats.org/drawingml/2006/picture">
                    <pic:pic>
                      <pic:nvPicPr>
                        <pic:cNvPr id="0" name="netramind_logo.png"/>
                        <pic:cNvPicPr/>
                      </pic:nvPicPr>
                      <pic:blipFill>
                        <a:blip r:embed="rId1"/>
                        <a:stretch>
                          <a:fillRect/>
                        </a:stretch>
                      </pic:blipFill>
                      <pic:spPr>
                        <a:xfrm>
                          <a:off x="0" y="0"/>
                          <a:ext cx="2194560" cy="432987"/>
                        </a:xfrm>
                        <a:prstGeom prst="rect"/>
                      </pic:spPr>
                    </pic:pic>
                  </a:graphicData>
                </a:graphic>
              </wp:inline>
            </w:drawing>
          </w:r>
        </w:p>
      </w:tc>
      <w:tc>
        <w:tcPr>
          <w:tcW w:type="dxa" w:w="5472"/>
        </w:tcPr>
        <w:p/>
        <w:tbl>
          <w:tblPr>
            <w:tblW w:type="auto" w:w="0"/>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36"/>
            <w:gridCol w:w="2736"/>
          </w:tblGrid>
          <w:tr>
            <w:tc>
              <w:tcPr>
                <w:tcW w:type="dxa" w:w="5328"/>
                <w:gridSpan w:val="2"/>
              </w:tcPr>
              <w:p>
                <w:pPr>
                  <w:spacing w:after="20" w:before="20"/>
                  <w:jc w:val="center"/>
                </w:pPr>
                <w:r/>
                <w:r>
                  <w:rPr>
                    <w:rFonts w:ascii="Calibri" w:hAnsi="Calibri" w:cs="Calibri"/>
                    <w:b w:val="0"/>
                    <w:i w:val="0"/>
                    <w:color w:val="000000"/>
                    <w:sz w:val="20"/>
                    <w:u w:val="none"/>
                  </w:rPr>
                  <w:t>STANDARD OPERATING PROCEDURE</w:t>
                </w:r>
              </w:p>
            </w:tc>
          </w:tr>
          <w:tr>
            <w:tc>
              <w:tcPr>
                <w:tcW w:type="dxa" w:w="2160"/>
              </w:tcPr>
              <w:p>
                <w:pPr>
                  <w:spacing w:after="20" w:before="20"/>
                  <w:jc w:val="right"/>
                </w:pPr>
                <w:r/>
                <w:r>
                  <w:rPr>
                    <w:rFonts w:ascii="Calibri" w:hAnsi="Calibri" w:cs="Calibri"/>
                    <w:b w:val="0"/>
                    <w:i w:val="0"/>
                    <w:color w:val="000000"/>
                    <w:sz w:val="22"/>
                    <w:u w:val="none"/>
                  </w:rPr>
                  <w:t>Document Number:</w:t>
                </w:r>
              </w:p>
            </w:tc>
            <w:tc>
              <w:tcPr>
                <w:tcW w:type="dxa" w:w="3168"/>
              </w:tcPr>
              <w:p>
                <w:pPr>
                  <w:spacing w:after="20" w:before="20"/>
                </w:pPr>
                <w:r/>
                <w:r>
                  <w:rPr>
                    <w:rFonts w:ascii="Calibri" w:hAnsi="Calibri" w:cs="Calibri"/>
                    <w:b w:val="0"/>
                    <w:i w:val="0"/>
                    <w:color w:val="000000"/>
                    <w:sz w:val="22"/>
                    <w:u w:val="none"/>
                  </w:rPr>
                  <w:t>SOP-029</w:t>
                </w:r>
              </w:p>
            </w:tc>
          </w:tr>
          <w:tr>
            <w:tc>
              <w:tcPr>
                <w:tcW w:type="dxa" w:w="2160"/>
              </w:tcPr>
              <w:p>
                <w:pPr>
                  <w:spacing w:after="20" w:before="20"/>
                  <w:jc w:val="right"/>
                </w:pPr>
                <w:r/>
                <w:r>
                  <w:rPr>
                    <w:rFonts w:ascii="Calibri" w:hAnsi="Calibri" w:cs="Calibri"/>
                    <w:b w:val="0"/>
                    <w:i w:val="0"/>
                    <w:color w:val="000000"/>
                    <w:sz w:val="22"/>
                    <w:u w:val="none"/>
                  </w:rPr>
                  <w:t>Effective Date:</w:t>
                </w:r>
              </w:p>
            </w:tc>
            <w:tc>
              <w:tcPr>
                <w:tcW w:type="dxa" w:w="3168"/>
              </w:tcPr>
              <w:p>
                <w:pPr>
                  <w:spacing w:after="20" w:before="20"/>
                </w:pPr>
                <w:r/>
                <w:r>
                  <w:rPr>
                    <w:rFonts w:ascii="Calibri" w:hAnsi="Calibri" w:cs="Calibri"/>
                    <w:b w:val="0"/>
                    <w:i w:val="0"/>
                    <w:color w:val="000000"/>
                    <w:sz w:val="22"/>
                    <w:u w:val="none"/>
                  </w:rPr>
                  <w:t>22-MAY-2026</w:t>
                </w:r>
              </w:p>
            </w:tc>
          </w:tr>
          <w:tr>
            <w:tc>
              <w:tcPr>
                <w:tcW w:type="dxa" w:w="2160"/>
              </w:tcPr>
              <w:p>
                <w:pPr>
                  <w:spacing w:after="20" w:before="20"/>
                  <w:jc w:val="right"/>
                </w:pPr>
                <w:r/>
                <w:r>
                  <w:rPr>
                    <w:rFonts w:ascii="Calibri" w:hAnsi="Calibri" w:cs="Calibri"/>
                    <w:b w:val="0"/>
                    <w:i w:val="0"/>
                    <w:color w:val="000000"/>
                    <w:sz w:val="22"/>
                    <w:u w:val="none"/>
                  </w:rPr>
                  <w:t>Version Number:</w:t>
                </w:r>
              </w:p>
            </w:tc>
            <w:tc>
              <w:tcPr>
                <w:tcW w:type="dxa" w:w="3168"/>
              </w:tcPr>
              <w:p>
                <w:pPr>
                  <w:spacing w:after="20" w:before="20"/>
                </w:pPr>
                <w:r/>
                <w:r>
                  <w:rPr>
                    <w:rFonts w:ascii="Calibri" w:hAnsi="Calibri" w:cs="Calibri"/>
                    <w:b w:val="0"/>
                    <w:i w:val="0"/>
                    <w:color w:val="000000"/>
                    <w:sz w:val="22"/>
                    <w:u w:val="none"/>
                  </w:rPr>
                  <w:t>01</w:t>
                </w:r>
              </w:p>
            </w:tc>
          </w:tr>
          <w:tr>
            <w:tc>
              <w:tcPr>
                <w:tcW w:type="dxa" w:w="2160"/>
              </w:tcPr>
              <w:p>
                <w:pPr>
                  <w:spacing w:after="20" w:before="20"/>
                  <w:jc w:val="right"/>
                </w:pPr>
                <w:r/>
                <w:r>
                  <w:rPr>
                    <w:rFonts w:ascii="Calibri" w:hAnsi="Calibri" w:cs="Calibri"/>
                    <w:b w:val="0"/>
                    <w:i w:val="0"/>
                    <w:color w:val="000000"/>
                    <w:sz w:val="22"/>
                    <w:u w:val="none"/>
                  </w:rPr>
                  <w:t>Page:</w:t>
                </w:r>
              </w:p>
            </w:tc>
            <w:tc>
              <w:tcPr>
                <w:tcW w:type="dxa" w:w="3168"/>
              </w:tcPr>
              <w:p>
                <w:r/>
                <w:r>
                  <w:rPr>
                    <w:rFonts w:ascii="Calibri" w:hAnsi="Calibri" w:cs="Calibri"/>
                    <w:b w:val="0"/>
                    <w:i w:val="0"/>
                    <w:color w:val="000000"/>
                    <w:sz w:val="22"/>
                    <w:u w:val="none"/>
                  </w:rPr>
                  <w:fldChar w:fldCharType="begin"/>
                  <w:instrText xml:space="preserve">PAGE</w:instrText>
                  <w:fldChar w:fldCharType="end"/>
                </w:r>
                <w:r>
                  <w:rPr>
                    <w:rFonts w:ascii="Calibri" w:hAnsi="Calibri" w:cs="Calibri"/>
                    <w:b w:val="0"/>
                    <w:i w:val="0"/>
                    <w:color w:val="000000"/>
                    <w:sz w:val="22"/>
                    <w:u w:val="none"/>
                  </w:rPr>
                  <w:t xml:space="preserve"> of </w:t>
                </w:r>
                <w:r>
                  <w:rPr>
                    <w:rFonts w:ascii="Calibri" w:hAnsi="Calibri" w:cs="Calibri"/>
                    <w:b w:val="0"/>
                    <w:i w:val="0"/>
                    <w:color w:val="000000"/>
                    <w:sz w:val="22"/>
                    <w:u w:val="none"/>
                  </w:rPr>
                  <w:fldChar w:fldCharType="begin"/>
                  <w:instrText xml:space="preserve">NUMPAGES</w:instrText>
                  <w:fldChar w:fldCharType="end"/>
                </w:r>
              </w:p>
            </w:tc>
          </w:tr>
        </w:tbl>
        <w:p/>
      </w:tc>
    </w:tr>
  </w:tbl>
  <w:p>
    <w:r>
      <w:rPr>
        <w:rFonts w:ascii="Calibri" w:hAnsi="Calibri" w:cs="Calibri"/>
        <w:b/>
        <w:i w:val="0"/>
        <w:color w:val="000000"/>
        <w:sz w:val="22"/>
        <w:u w:val="none"/>
      </w:rPr>
      <w:t xml:space="preserve">Title: </w:t>
    </w:r>
    <w:r>
      <w:rPr>
        <w:rFonts w:ascii="Calibri" w:hAnsi="Calibri" w:cs="Calibri"/>
        <w:b/>
        <w:i w:val="0"/>
        <w:color w:val="000000"/>
        <w:sz w:val="22"/>
        <w:u w:val="none"/>
      </w:rPr>
      <w:t>Potential Fraud and Serious Misconduct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