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504" w:val="left"/>
        </w:tabs>
        <w:spacing w:before="160" w:after="80"/>
      </w:pPr>
      <w:r>
        <w:rPr>
          <w:rFonts w:ascii="Calibri" w:hAnsi="Calibri" w:cs="Calibri"/>
          <w:b/>
          <w:i w:val="0"/>
          <w:color w:val="000000"/>
          <w:sz w:val="22"/>
          <w:u w:val="none"/>
        </w:rPr>
        <w:t>1</w:t>
      </w:r>
      <w:r>
        <w:rPr>
          <w:rFonts w:ascii="Calibri" w:hAnsi="Calibri" w:cs="Calibri"/>
          <w:b/>
          <w:i w:val="0"/>
          <w:color w:val="000000"/>
          <w:sz w:val="22"/>
          <w:u w:val="none"/>
        </w:rPr>
        <w:tab/>
      </w:r>
      <w:r>
        <w:rPr>
          <w:rFonts w:ascii="Calibri" w:hAnsi="Calibri" w:cs="Calibri"/>
          <w:b/>
          <w:i w:val="0"/>
          <w:color w:val="000000"/>
          <w:sz w:val="22"/>
          <w:u w:val="none"/>
        </w:rPr>
        <w:t>PURPOSE</w:t>
      </w:r>
    </w:p>
    <w:p>
      <w:pPr>
        <w:spacing w:after="120"/>
        <w:ind w:left="504"/>
      </w:pPr>
      <w:r>
        <w:rPr>
          <w:rFonts w:ascii="Calibri" w:hAnsi="Calibri" w:cs="Calibri"/>
          <w:b w:val="0"/>
          <w:i w:val="0"/>
          <w:color w:val="000000"/>
          <w:sz w:val="22"/>
          <w:u w:val="none"/>
        </w:rPr>
        <w:t>This Standard Operating Procedure (SOP) describes the selection, evaluation, and qualification of GxP contract service providers (CSP), also refers to clinical research organizations (CROs), that provide material and/or services to Netramind. This SOP also describes the management of CSP contracts and maintenance of the Approved Service Provider (ASP) List.</w:t>
      </w:r>
    </w:p>
    <w:p>
      <w:pPr>
        <w:keepNext/>
        <w:tabs>
          <w:tab w:pos="504" w:val="left"/>
        </w:tabs>
        <w:spacing w:before="160" w:after="80"/>
      </w:pPr>
      <w:r>
        <w:rPr>
          <w:rFonts w:ascii="Calibri" w:hAnsi="Calibri" w:cs="Calibri"/>
          <w:b/>
          <w:i w:val="0"/>
          <w:color w:val="000000"/>
          <w:sz w:val="22"/>
          <w:u w:val="none"/>
        </w:rPr>
        <w:t>2</w:t>
      </w:r>
      <w:r>
        <w:rPr>
          <w:rFonts w:ascii="Calibri" w:hAnsi="Calibri" w:cs="Calibri"/>
          <w:b/>
          <w:i w:val="0"/>
          <w:color w:val="000000"/>
          <w:sz w:val="22"/>
          <w:u w:val="none"/>
        </w:rPr>
        <w:tab/>
      </w:r>
      <w:r>
        <w:rPr>
          <w:rFonts w:ascii="Calibri" w:hAnsi="Calibri" w:cs="Calibri"/>
          <w:b/>
          <w:i w:val="0"/>
          <w:color w:val="000000"/>
          <w:sz w:val="22"/>
          <w:u w:val="none"/>
        </w:rPr>
        <w:t>SCOPE</w:t>
      </w:r>
    </w:p>
    <w:p>
      <w:pPr>
        <w:spacing w:after="120"/>
        <w:ind w:left="504"/>
      </w:pPr>
      <w:r>
        <w:rPr>
          <w:rFonts w:ascii="Calibri" w:hAnsi="Calibri" w:cs="Calibri"/>
          <w:b w:val="0"/>
          <w:i w:val="0"/>
          <w:color w:val="000000"/>
          <w:sz w:val="22"/>
          <w:u w:val="none"/>
        </w:rPr>
        <w:t>This procedure applies to the selection, evaluation, qualification, and management of external service providers supporting Netramind GxP-regulated activities, including technology providers, consultants, cloud service providers, and outsourced operational services where applicable.</w:t>
      </w:r>
    </w:p>
    <w:p>
      <w:pPr>
        <w:keepNext/>
        <w:tabs>
          <w:tab w:pos="504" w:val="left"/>
        </w:tabs>
        <w:spacing w:before="160" w:after="80"/>
      </w:pPr>
      <w:r>
        <w:rPr>
          <w:rFonts w:ascii="Calibri" w:hAnsi="Calibri" w:cs="Calibri"/>
          <w:b/>
          <w:i w:val="0"/>
          <w:color w:val="000000"/>
          <w:sz w:val="22"/>
          <w:u w:val="none"/>
        </w:rPr>
        <w:t>3</w:t>
      </w:r>
      <w:r>
        <w:rPr>
          <w:rFonts w:ascii="Calibri" w:hAnsi="Calibri" w:cs="Calibri"/>
          <w:b/>
          <w:i w:val="0"/>
          <w:color w:val="000000"/>
          <w:sz w:val="22"/>
          <w:u w:val="none"/>
        </w:rPr>
        <w:tab/>
      </w:r>
      <w:r>
        <w:rPr>
          <w:rFonts w:ascii="Calibri" w:hAnsi="Calibri" w:cs="Calibri"/>
          <w:b/>
          <w:i w:val="0"/>
          <w:color w:val="000000"/>
          <w:sz w:val="22"/>
          <w:u w:val="none"/>
        </w:rPr>
        <w:t>REFERENCES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SOP-001 GxP Document Control</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US Code of Federal Regulations (CFR) Title 21 o Part 11 Electronic Records; Electronic Signatures o Part 312 Investigational New Drug Application o Part 312.52 Transfer of Obligations to a Contract Research Organization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International Council on Harmonization (ICH) o ICH E6(R3) Good Clinical Practice (GCP) o ICH Q10 Pharmaceutical Quality System</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European Union (EU) Clinical Trials Regulation (CTR) No 536/2014</w:t>
      </w:r>
    </w:p>
    <w:p>
      <w:pPr>
        <w:keepNext/>
        <w:tabs>
          <w:tab w:pos="504" w:val="left"/>
        </w:tabs>
        <w:spacing w:before="160" w:after="80"/>
      </w:pPr>
      <w:r>
        <w:rPr>
          <w:rFonts w:ascii="Calibri" w:hAnsi="Calibri" w:cs="Calibri"/>
          <w:b/>
          <w:i w:val="0"/>
          <w:color w:val="000000"/>
          <w:sz w:val="22"/>
          <w:u w:val="none"/>
        </w:rPr>
        <w:t>4</w:t>
      </w:r>
      <w:r>
        <w:rPr>
          <w:rFonts w:ascii="Calibri" w:hAnsi="Calibri" w:cs="Calibri"/>
          <w:b/>
          <w:i w:val="0"/>
          <w:color w:val="000000"/>
          <w:sz w:val="22"/>
          <w:u w:val="none"/>
        </w:rPr>
        <w:tab/>
      </w:r>
      <w:r>
        <w:rPr>
          <w:rFonts w:ascii="Calibri" w:hAnsi="Calibri" w:cs="Calibri"/>
          <w:b/>
          <w:i w:val="0"/>
          <w:color w:val="000000"/>
          <w:sz w:val="22"/>
          <w:u w:val="none"/>
        </w:rPr>
        <w:t>DEFINITIONS</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single"/>
        </w:rPr>
        <w:t>Approved Service Providers List (ASP)</w:t>
      </w:r>
      <w:r>
        <w:rPr>
          <w:rFonts w:ascii="Calibri" w:hAnsi="Calibri" w:cs="Calibri"/>
          <w:b w:val="0"/>
          <w:i w:val="0"/>
          <w:color w:val="000000"/>
          <w:sz w:val="22"/>
          <w:u w:val="none"/>
        </w:rPr>
        <w:t xml:space="preserve"> — </w:t>
      </w:r>
      <w:r>
        <w:rPr>
          <w:rFonts w:ascii="Calibri" w:hAnsi="Calibri" w:cs="Calibri"/>
          <w:b w:val="0"/>
          <w:i w:val="0"/>
          <w:color w:val="000000"/>
          <w:sz w:val="22"/>
          <w:u w:val="none"/>
        </w:rPr>
        <w:t>Current active and approved CSPs and suppliers that provide a specific material or GxP service(s) to Netramind.</w:t>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single"/>
        </w:rPr>
        <w:t>Contract Service Provider (CSP)</w:t>
      </w:r>
      <w:r>
        <w:rPr>
          <w:rFonts w:ascii="Calibri" w:hAnsi="Calibri" w:cs="Calibri"/>
          <w:b w:val="0"/>
          <w:i w:val="0"/>
          <w:color w:val="000000"/>
          <w:sz w:val="22"/>
          <w:u w:val="none"/>
        </w:rPr>
        <w:t xml:space="preserve"> — </w:t>
      </w:r>
      <w:r>
        <w:rPr>
          <w:rFonts w:ascii="Calibri" w:hAnsi="Calibri" w:cs="Calibri"/>
          <w:b w:val="0"/>
          <w:i w:val="0"/>
          <w:color w:val="000000"/>
          <w:sz w:val="22"/>
          <w:u w:val="none"/>
        </w:rPr>
        <w:t>A person or organization (commercial, academic or other) providing a service used during the conduct of a clinical trial to either the sponsor or the investigator to fulfil one or more of their related activities. Examples of a CSP include:</w:t>
      </w:r>
    </w:p>
    <w:p>
      <w:pPr>
        <w:tabs>
          <w:tab w:pos="1296" w:val="left"/>
        </w:tabs>
        <w:spacing w:after="80"/>
        <w:ind w:left="1296" w:hanging="576"/>
      </w:pPr>
      <w:r>
        <w:rPr>
          <w:rFonts w:ascii="Calibri" w:hAnsi="Calibri" w:cs="Calibri"/>
          <w:b w:val="0"/>
          <w:i w:val="0"/>
          <w:color w:val="000000"/>
          <w:sz w:val="22"/>
          <w:u w:val="none"/>
        </w:rPr>
        <w:t>4.2.1</w:t>
        <w:tab/>
      </w:r>
      <w:r>
        <w:rPr>
          <w:rFonts w:ascii="Calibri" w:hAnsi="Calibri" w:cs="Calibri"/>
          <w:b w:val="0"/>
          <w:i w:val="0"/>
          <w:color w:val="000000"/>
          <w:sz w:val="22"/>
          <w:u w:val="single"/>
        </w:rPr>
        <w:t>Clinical Research Organization (CRO)</w:t>
      </w:r>
      <w:r>
        <w:rPr>
          <w:rFonts w:ascii="Calibri" w:hAnsi="Calibri" w:cs="Calibri"/>
          <w:b w:val="0"/>
          <w:i w:val="0"/>
          <w:color w:val="000000"/>
          <w:sz w:val="22"/>
          <w:u w:val="none"/>
        </w:rPr>
        <w:t xml:space="preserve"> — </w:t>
      </w:r>
      <w:r>
        <w:rPr>
          <w:rFonts w:ascii="Calibri" w:hAnsi="Calibri" w:cs="Calibri"/>
          <w:b w:val="0"/>
          <w:i w:val="0"/>
          <w:color w:val="000000"/>
          <w:sz w:val="22"/>
          <w:u w:val="none"/>
        </w:rPr>
        <w:t>A person or an organization (commercial, academic, or other) contracted by the sponsor to perform one or more of a sponsor's trial-related duties and functions.</w:t>
      </w:r>
    </w:p>
    <w:p>
      <w:pPr>
        <w:tabs>
          <w:tab w:pos="1296" w:val="left"/>
        </w:tabs>
        <w:spacing w:after="80"/>
        <w:ind w:left="1296" w:hanging="576"/>
      </w:pPr>
      <w:r>
        <w:rPr>
          <w:rFonts w:ascii="Calibri" w:hAnsi="Calibri" w:cs="Calibri"/>
          <w:b w:val="0"/>
          <w:i w:val="0"/>
          <w:color w:val="000000"/>
          <w:sz w:val="22"/>
          <w:u w:val="none"/>
        </w:rPr>
        <w:t>4.2.2</w:t>
        <w:tab/>
      </w:r>
      <w:r>
        <w:rPr>
          <w:rFonts w:ascii="Calibri" w:hAnsi="Calibri" w:cs="Calibri"/>
          <w:b w:val="0"/>
          <w:i w:val="0"/>
          <w:color w:val="000000"/>
          <w:sz w:val="22"/>
          <w:u w:val="single"/>
        </w:rPr>
        <w:t>Service Provider (SP)</w:t>
      </w:r>
      <w:r>
        <w:rPr>
          <w:rFonts w:ascii="Calibri" w:hAnsi="Calibri" w:cs="Calibri"/>
          <w:b w:val="0"/>
          <w:i w:val="0"/>
          <w:color w:val="000000"/>
          <w:sz w:val="22"/>
          <w:u w:val="none"/>
        </w:rPr>
        <w:t xml:space="preserve"> — </w:t>
      </w:r>
      <w:r>
        <w:rPr>
          <w:rFonts w:ascii="Calibri" w:hAnsi="Calibri" w:cs="Calibri"/>
          <w:b w:val="0"/>
          <w:i w:val="0"/>
          <w:color w:val="000000"/>
          <w:sz w:val="22"/>
          <w:u w:val="none"/>
        </w:rPr>
        <w:t>A person or organization (commercial, academic, or other) providing a service used either by the sponsor or the investigator to fulfill trial-related activities.</w:t>
      </w:r>
    </w:p>
    <w:p>
      <w:pPr>
        <w:tabs>
          <w:tab w:pos="1296" w:val="left"/>
        </w:tabs>
        <w:spacing w:after="80"/>
        <w:ind w:left="1296" w:hanging="576"/>
      </w:pPr>
      <w:r>
        <w:rPr>
          <w:rFonts w:ascii="Calibri" w:hAnsi="Calibri" w:cs="Calibri"/>
          <w:b w:val="0"/>
          <w:i w:val="0"/>
          <w:color w:val="000000"/>
          <w:sz w:val="22"/>
          <w:u w:val="none"/>
        </w:rPr>
        <w:t>4.3</w:t>
        <w:tab/>
      </w:r>
      <w:r>
        <w:rPr>
          <w:rFonts w:ascii="Calibri" w:hAnsi="Calibri" w:cs="Calibri"/>
          <w:b w:val="0"/>
          <w:i w:val="0"/>
          <w:color w:val="000000"/>
          <w:sz w:val="22"/>
          <w:u w:val="single"/>
        </w:rPr>
        <w:t>Non-Disclosure Agreement (NDA) / Confidential Disclosure Agreement (CDA)</w:t>
      </w:r>
      <w:r>
        <w:rPr>
          <w:rFonts w:ascii="Calibri" w:hAnsi="Calibri" w:cs="Calibri"/>
          <w:b w:val="0"/>
          <w:i w:val="0"/>
          <w:color w:val="000000"/>
          <w:sz w:val="22"/>
          <w:u w:val="none"/>
        </w:rPr>
        <w:t xml:space="preserve"> — </w:t>
      </w:r>
      <w:r>
        <w:rPr>
          <w:rFonts w:ascii="Calibri" w:hAnsi="Calibri" w:cs="Calibri"/>
          <w:b w:val="0"/>
          <w:i w:val="0"/>
          <w:color w:val="000000"/>
          <w:sz w:val="22"/>
          <w:u w:val="none"/>
        </w:rPr>
        <w:t>A legal contract that outlines confidential material, intellectual, or proprietary knowledge that the parties can share but are restricted from generalized and external use.</w:t>
      </w:r>
    </w:p>
    <w:p>
      <w:pPr>
        <w:tabs>
          <w:tab w:pos="1296" w:val="left"/>
        </w:tabs>
        <w:spacing w:after="80"/>
        <w:ind w:left="1296" w:hanging="576"/>
      </w:pPr>
      <w:r>
        <w:rPr>
          <w:rFonts w:ascii="Calibri" w:hAnsi="Calibri" w:cs="Calibri"/>
          <w:b w:val="0"/>
          <w:i w:val="0"/>
          <w:color w:val="000000"/>
          <w:sz w:val="22"/>
          <w:u w:val="none"/>
        </w:rPr>
        <w:t>4.4</w:t>
        <w:tab/>
      </w:r>
      <w:r>
        <w:rPr>
          <w:rFonts w:ascii="Calibri" w:hAnsi="Calibri" w:cs="Calibri"/>
          <w:b w:val="0"/>
          <w:i w:val="0"/>
          <w:color w:val="000000"/>
          <w:sz w:val="22"/>
          <w:u w:val="single"/>
        </w:rPr>
        <w:t>Quality Agreement</w:t>
      </w:r>
      <w:r>
        <w:rPr>
          <w:rFonts w:ascii="Calibri" w:hAnsi="Calibri" w:cs="Calibri"/>
          <w:b w:val="0"/>
          <w:i w:val="0"/>
          <w:color w:val="000000"/>
          <w:sz w:val="22"/>
          <w:u w:val="none"/>
        </w:rPr>
        <w:t xml:space="preserve"> — </w:t>
      </w:r>
      <w:r>
        <w:rPr>
          <w:rFonts w:ascii="Calibri" w:hAnsi="Calibri" w:cs="Calibri"/>
          <w:b w:val="0"/>
          <w:i w:val="0"/>
          <w:color w:val="000000"/>
          <w:sz w:val="22"/>
          <w:u w:val="none"/>
        </w:rPr>
        <w:t>A contract which states the manufacturing, quality control, regulatory and any GxP provisions required to provide materials, products, equipment, study related products or services in adherence with Netramind. and regulatory requirements. The obligations and responsibilities should be stated as part of this agreement. Also referred to as Quality Technical Agreement (QTA), Quality Assurance Agreement (QAA), or Clinical Quality Agreement (CQA).</w:t>
      </w:r>
    </w:p>
    <w:p>
      <w:pPr>
        <w:tabs>
          <w:tab w:pos="1296" w:val="left"/>
        </w:tabs>
        <w:spacing w:after="80"/>
        <w:ind w:left="1296" w:hanging="576"/>
      </w:pPr>
      <w:r>
        <w:rPr>
          <w:rFonts w:ascii="Calibri" w:hAnsi="Calibri" w:cs="Calibri"/>
          <w:b w:val="0"/>
          <w:i w:val="0"/>
          <w:color w:val="000000"/>
          <w:sz w:val="22"/>
          <w:u w:val="none"/>
        </w:rPr>
        <w:t>4.5</w:t>
        <w:tab/>
      </w:r>
      <w:r>
        <w:rPr>
          <w:rFonts w:ascii="Calibri" w:hAnsi="Calibri" w:cs="Calibri"/>
          <w:b w:val="0"/>
          <w:i w:val="0"/>
          <w:color w:val="000000"/>
          <w:sz w:val="22"/>
          <w:u w:val="single"/>
        </w:rPr>
        <w:t>Request for Proposal (RFP)</w:t>
      </w:r>
      <w:r>
        <w:rPr>
          <w:rFonts w:ascii="Calibri" w:hAnsi="Calibri" w:cs="Calibri"/>
          <w:b w:val="0"/>
          <w:i w:val="0"/>
          <w:color w:val="000000"/>
          <w:sz w:val="22"/>
          <w:u w:val="none"/>
        </w:rPr>
        <w:t xml:space="preserve"> — </w:t>
      </w:r>
      <w:r>
        <w:rPr>
          <w:rFonts w:ascii="Calibri" w:hAnsi="Calibri" w:cs="Calibri"/>
          <w:b w:val="0"/>
          <w:i w:val="0"/>
          <w:color w:val="000000"/>
          <w:sz w:val="22"/>
          <w:u w:val="none"/>
        </w:rPr>
        <w:t>An outline of required services and expectations used to request service provider bids for products, solutions, and services.</w:t>
      </w:r>
    </w:p>
    <w:p>
      <w:pPr>
        <w:tabs>
          <w:tab w:pos="1296" w:val="left"/>
        </w:tabs>
        <w:spacing w:after="80"/>
        <w:ind w:left="1296" w:hanging="576"/>
      </w:pPr>
      <w:r>
        <w:rPr>
          <w:rFonts w:ascii="Calibri" w:hAnsi="Calibri" w:cs="Calibri"/>
          <w:b w:val="0"/>
          <w:i w:val="0"/>
          <w:color w:val="000000"/>
          <w:sz w:val="22"/>
          <w:u w:val="none"/>
        </w:rPr>
        <w:t>4.6</w:t>
        <w:tab/>
      </w:r>
      <w:r>
        <w:rPr>
          <w:rFonts w:ascii="Calibri" w:hAnsi="Calibri" w:cs="Calibri"/>
          <w:b w:val="0"/>
          <w:i w:val="0"/>
          <w:color w:val="000000"/>
          <w:sz w:val="22"/>
          <w:u w:val="single"/>
        </w:rPr>
        <w:t>Master Services Agreement (MSA)</w:t>
      </w:r>
      <w:r>
        <w:rPr>
          <w:rFonts w:ascii="Calibri" w:hAnsi="Calibri" w:cs="Calibri"/>
          <w:b w:val="0"/>
          <w:i w:val="0"/>
          <w:color w:val="000000"/>
          <w:sz w:val="22"/>
          <w:u w:val="none"/>
        </w:rPr>
        <w:t xml:space="preserve"> — </w:t>
      </w:r>
      <w:r>
        <w:rPr>
          <w:rFonts w:ascii="Calibri" w:hAnsi="Calibri" w:cs="Calibri"/>
          <w:b w:val="0"/>
          <w:i w:val="0"/>
          <w:color w:val="000000"/>
          <w:sz w:val="22"/>
          <w:u w:val="none"/>
        </w:rPr>
        <w:t>A legally binding service-oriented contract between two or more parties that states the responsibilities and obligations of one party to another. The MSA contains terms and conditions that will be applicable and incorporated by reference into future work orders or supplemental agreements.</w:t>
      </w:r>
    </w:p>
    <w:p>
      <w:pPr>
        <w:tabs>
          <w:tab w:pos="1296" w:val="left"/>
        </w:tabs>
        <w:spacing w:after="80"/>
        <w:ind w:left="1296" w:hanging="576"/>
      </w:pPr>
      <w:r>
        <w:rPr>
          <w:rFonts w:ascii="Calibri" w:hAnsi="Calibri" w:cs="Calibri"/>
          <w:b w:val="0"/>
          <w:i w:val="0"/>
          <w:color w:val="000000"/>
          <w:sz w:val="22"/>
          <w:u w:val="none"/>
        </w:rPr>
        <w:t>4.7</w:t>
        <w:tab/>
      </w:r>
      <w:r>
        <w:rPr>
          <w:rFonts w:ascii="Calibri" w:hAnsi="Calibri" w:cs="Calibri"/>
          <w:b w:val="0"/>
          <w:i w:val="0"/>
          <w:color w:val="000000"/>
          <w:sz w:val="22"/>
          <w:u w:val="single"/>
        </w:rPr>
        <w:t>Scope of Work (SOW)</w:t>
      </w:r>
      <w:r>
        <w:rPr>
          <w:rFonts w:ascii="Calibri" w:hAnsi="Calibri" w:cs="Calibri"/>
          <w:b w:val="0"/>
          <w:i w:val="0"/>
          <w:color w:val="000000"/>
          <w:sz w:val="22"/>
          <w:u w:val="none"/>
        </w:rPr>
        <w:t xml:space="preserve"> — </w:t>
      </w:r>
      <w:r>
        <w:rPr>
          <w:rFonts w:ascii="Calibri" w:hAnsi="Calibri" w:cs="Calibri"/>
          <w:b w:val="0"/>
          <w:i w:val="0"/>
          <w:color w:val="000000"/>
          <w:sz w:val="22"/>
          <w:u w:val="none"/>
        </w:rPr>
        <w:t>Describes in detail the work to be performed by CSP(s) for Netramind.</w:t>
      </w:r>
    </w:p>
    <w:p>
      <w:pPr>
        <w:keepNext/>
        <w:tabs>
          <w:tab w:pos="504" w:val="left"/>
        </w:tabs>
        <w:spacing w:before="160" w:after="80"/>
      </w:pPr>
      <w:r>
        <w:rPr>
          <w:rFonts w:ascii="Calibri" w:hAnsi="Calibri" w:cs="Calibri"/>
          <w:b/>
          <w:i w:val="0"/>
          <w:color w:val="000000"/>
          <w:sz w:val="22"/>
          <w:u w:val="none"/>
        </w:rPr>
        <w:t>5</w:t>
      </w:r>
      <w:r>
        <w:rPr>
          <w:rFonts w:ascii="Calibri" w:hAnsi="Calibri" w:cs="Calibri"/>
          <w:b/>
          <w:i w:val="0"/>
          <w:color w:val="000000"/>
          <w:sz w:val="22"/>
          <w:u w:val="none"/>
        </w:rPr>
        <w:tab/>
      </w:r>
      <w:r>
        <w:rPr>
          <w:rFonts w:ascii="Calibri" w:hAnsi="Calibri" w:cs="Calibri"/>
          <w:b/>
          <w:i w:val="0"/>
          <w:color w:val="000000"/>
          <w:sz w:val="22"/>
          <w:u w:val="none"/>
        </w:rPr>
        <w:t>RESPONSIBILITIES</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Netramind Personnel</w:t>
      </w:r>
    </w:p>
    <w:p>
      <w:pPr>
        <w:tabs>
          <w:tab w:pos="1872" w:val="left"/>
        </w:tabs>
        <w:spacing w:after="80"/>
        <w:ind w:left="1872" w:hanging="576"/>
      </w:pPr>
      <w:r>
        <w:rPr>
          <w:rFonts w:ascii="Calibri" w:hAnsi="Calibri" w:cs="Calibri"/>
          <w:b w:val="0"/>
          <w:i w:val="0"/>
          <w:color w:val="000000"/>
          <w:sz w:val="22"/>
          <w:u w:val="none"/>
        </w:rPr>
        <w:t>5.1.1</w:t>
        <w:tab/>
      </w:r>
      <w:r>
        <w:rPr>
          <w:rFonts w:ascii="Calibri" w:hAnsi="Calibri" w:cs="Calibri"/>
          <w:b w:val="0"/>
          <w:i w:val="0"/>
          <w:color w:val="000000"/>
          <w:sz w:val="22"/>
          <w:u w:val="none"/>
        </w:rPr>
        <w:t>Use approved service providers where qualification or evaluation is required.</w:t>
      </w:r>
    </w:p>
    <w:p>
      <w:pPr>
        <w:tabs>
          <w:tab w:pos="1296" w:val="left"/>
        </w:tabs>
        <w:spacing w:after="80"/>
        <w:ind w:left="1296" w:hanging="576"/>
      </w:pPr>
      <w:r>
        <w:rPr>
          <w:rFonts w:ascii="Calibri" w:hAnsi="Calibri" w:cs="Calibri"/>
          <w:b w:val="0"/>
          <w:i w:val="0"/>
          <w:color w:val="000000"/>
          <w:sz w:val="22"/>
          <w:u w:val="none"/>
        </w:rPr>
        <w:t>5.2</w:t>
        <w:tab/>
      </w:r>
      <w:r>
        <w:rPr>
          <w:rFonts w:ascii="Calibri" w:hAnsi="Calibri" w:cs="Calibri"/>
          <w:b w:val="0"/>
          <w:i w:val="0"/>
          <w:color w:val="000000"/>
          <w:sz w:val="22"/>
          <w:u w:val="none"/>
        </w:rPr>
        <w:t>CSP Selection Team</w:t>
      </w:r>
    </w:p>
    <w:p>
      <w:pPr>
        <w:tabs>
          <w:tab w:pos="1872" w:val="left"/>
        </w:tabs>
        <w:spacing w:after="80"/>
        <w:ind w:left="1872" w:hanging="576"/>
      </w:pPr>
      <w:r>
        <w:rPr>
          <w:rFonts w:ascii="Calibri" w:hAnsi="Calibri" w:cs="Calibri"/>
          <w:b w:val="0"/>
          <w:i w:val="0"/>
          <w:color w:val="000000"/>
          <w:sz w:val="22"/>
          <w:u w:val="none"/>
        </w:rPr>
        <w:t>5.2.1</w:t>
        <w:tab/>
      </w:r>
      <w:r>
        <w:rPr>
          <w:rFonts w:ascii="Calibri" w:hAnsi="Calibri" w:cs="Calibri"/>
          <w:b w:val="0"/>
          <w:i w:val="0"/>
          <w:color w:val="000000"/>
          <w:sz w:val="22"/>
          <w:u w:val="none"/>
        </w:rPr>
        <w:t>Identify and evaluate potential service providers.</w:t>
      </w:r>
    </w:p>
    <w:p>
      <w:pPr>
        <w:tabs>
          <w:tab w:pos="1872" w:val="left"/>
        </w:tabs>
        <w:spacing w:after="80"/>
        <w:ind w:left="1872" w:hanging="576"/>
      </w:pPr>
      <w:r>
        <w:rPr>
          <w:rFonts w:ascii="Calibri" w:hAnsi="Calibri" w:cs="Calibri"/>
          <w:b w:val="0"/>
          <w:i w:val="0"/>
          <w:color w:val="000000"/>
          <w:sz w:val="22"/>
          <w:u w:val="none"/>
        </w:rPr>
        <w:t>5.2.2</w:t>
        <w:tab/>
      </w:r>
      <w:r>
        <w:rPr>
          <w:rFonts w:ascii="Calibri" w:hAnsi="Calibri" w:cs="Calibri"/>
          <w:b w:val="0"/>
          <w:i w:val="0"/>
          <w:color w:val="000000"/>
          <w:sz w:val="22"/>
          <w:u w:val="none"/>
        </w:rPr>
        <w:t>Coordinate requests for proposals, service agreements, and scopes of work where applicable.</w:t>
      </w:r>
    </w:p>
    <w:p>
      <w:pPr>
        <w:tabs>
          <w:tab w:pos="1872" w:val="left"/>
        </w:tabs>
        <w:spacing w:after="80"/>
        <w:ind w:left="1872" w:hanging="576"/>
      </w:pPr>
      <w:r>
        <w:rPr>
          <w:rFonts w:ascii="Calibri" w:hAnsi="Calibri" w:cs="Calibri"/>
          <w:b w:val="0"/>
          <w:i w:val="0"/>
          <w:color w:val="000000"/>
          <w:sz w:val="22"/>
          <w:u w:val="none"/>
        </w:rPr>
        <w:t>5.2.3</w:t>
        <w:tab/>
      </w:r>
      <w:r>
        <w:rPr>
          <w:rFonts w:ascii="Calibri" w:hAnsi="Calibri" w:cs="Calibri"/>
          <w:b w:val="0"/>
          <w:i w:val="0"/>
          <w:color w:val="000000"/>
          <w:sz w:val="22"/>
          <w:u w:val="none"/>
        </w:rPr>
        <w:t>Assess operational and technical suitability of service providers.</w:t>
      </w:r>
    </w:p>
    <w:p>
      <w:pPr>
        <w:tabs>
          <w:tab w:pos="1296" w:val="left"/>
        </w:tabs>
        <w:spacing w:after="80"/>
        <w:ind w:left="1296" w:hanging="576"/>
      </w:pPr>
      <w:r>
        <w:rPr>
          <w:rFonts w:ascii="Calibri" w:hAnsi="Calibri" w:cs="Calibri"/>
          <w:b w:val="0"/>
          <w:i w:val="0"/>
          <w:color w:val="000000"/>
          <w:sz w:val="22"/>
          <w:u w:val="none"/>
        </w:rPr>
        <w:t>5.3</w:t>
        <w:tab/>
      </w:r>
      <w:r>
        <w:rPr>
          <w:rFonts w:ascii="Calibri" w:hAnsi="Calibri" w:cs="Calibri"/>
          <w:b w:val="0"/>
          <w:i w:val="0"/>
          <w:color w:val="000000"/>
          <w:sz w:val="22"/>
          <w:u w:val="none"/>
        </w:rPr>
        <w:t>Quality Assurance (QA)</w:t>
      </w:r>
    </w:p>
    <w:p>
      <w:pPr>
        <w:tabs>
          <w:tab w:pos="1872" w:val="left"/>
        </w:tabs>
        <w:spacing w:after="80"/>
        <w:ind w:left="1872" w:hanging="576"/>
      </w:pPr>
      <w:r>
        <w:rPr>
          <w:rFonts w:ascii="Calibri" w:hAnsi="Calibri" w:cs="Calibri"/>
          <w:b w:val="0"/>
          <w:i w:val="0"/>
          <w:color w:val="000000"/>
          <w:sz w:val="22"/>
          <w:u w:val="none"/>
        </w:rPr>
        <w:t>5.3.1</w:t>
        <w:tab/>
      </w:r>
      <w:r>
        <w:rPr>
          <w:rFonts w:ascii="Calibri" w:hAnsi="Calibri" w:cs="Calibri"/>
          <w:b w:val="0"/>
          <w:i w:val="0"/>
          <w:color w:val="000000"/>
          <w:sz w:val="22"/>
          <w:u w:val="none"/>
        </w:rPr>
        <w:t>Support risk-based evaluation and qualification activities where applicable.</w:t>
      </w:r>
    </w:p>
    <w:p>
      <w:pPr>
        <w:tabs>
          <w:tab w:pos="1872" w:val="left"/>
        </w:tabs>
        <w:spacing w:after="80"/>
        <w:ind w:left="1872" w:hanging="576"/>
      </w:pPr>
      <w:r>
        <w:rPr>
          <w:rFonts w:ascii="Calibri" w:hAnsi="Calibri" w:cs="Calibri"/>
          <w:b w:val="0"/>
          <w:i w:val="0"/>
          <w:color w:val="000000"/>
          <w:sz w:val="22"/>
          <w:u w:val="none"/>
        </w:rPr>
        <w:t>5.3.2</w:t>
        <w:tab/>
      </w:r>
      <w:r>
        <w:rPr>
          <w:rFonts w:ascii="Calibri" w:hAnsi="Calibri" w:cs="Calibri"/>
          <w:b w:val="0"/>
          <w:i w:val="0"/>
          <w:color w:val="000000"/>
          <w:sz w:val="22"/>
          <w:u w:val="none"/>
        </w:rPr>
        <w:t>Maintain the Approved Service Provider (ASP) List.</w:t>
      </w:r>
    </w:p>
    <w:p>
      <w:pPr>
        <w:tabs>
          <w:tab w:pos="1872" w:val="left"/>
        </w:tabs>
        <w:spacing w:after="80"/>
        <w:ind w:left="1872" w:hanging="576"/>
      </w:pPr>
      <w:r>
        <w:rPr>
          <w:rFonts w:ascii="Calibri" w:hAnsi="Calibri" w:cs="Calibri"/>
          <w:b w:val="0"/>
          <w:i w:val="0"/>
          <w:color w:val="000000"/>
          <w:sz w:val="22"/>
          <w:u w:val="none"/>
        </w:rPr>
        <w:t>5.3.3</w:t>
        <w:tab/>
      </w:r>
      <w:r>
        <w:rPr>
          <w:rFonts w:ascii="Calibri" w:hAnsi="Calibri" w:cs="Calibri"/>
          <w:b w:val="0"/>
          <w:i w:val="0"/>
          <w:color w:val="000000"/>
          <w:sz w:val="22"/>
          <w:u w:val="none"/>
        </w:rPr>
        <w:t>Review quality or compliance-related concerns associated with service providers.</w:t>
      </w:r>
    </w:p>
    <w:p>
      <w:pPr>
        <w:tabs>
          <w:tab w:pos="1296" w:val="left"/>
        </w:tabs>
        <w:spacing w:after="80"/>
        <w:ind w:left="1296" w:hanging="576"/>
      </w:pPr>
      <w:r>
        <w:rPr>
          <w:rFonts w:ascii="Calibri" w:hAnsi="Calibri" w:cs="Calibri"/>
          <w:b w:val="0"/>
          <w:i w:val="0"/>
          <w:color w:val="000000"/>
          <w:sz w:val="22"/>
          <w:u w:val="none"/>
        </w:rPr>
        <w:t>5.4</w:t>
        <w:tab/>
      </w:r>
      <w:r>
        <w:rPr>
          <w:rFonts w:ascii="Calibri" w:hAnsi="Calibri" w:cs="Calibri"/>
          <w:b w:val="0"/>
          <w:i w:val="0"/>
          <w:color w:val="000000"/>
          <w:sz w:val="22"/>
          <w:u w:val="none"/>
        </w:rPr>
        <w:t>Legal or Management Designee</w:t>
      </w:r>
    </w:p>
    <w:p>
      <w:pPr>
        <w:tabs>
          <w:tab w:pos="1872" w:val="left"/>
        </w:tabs>
        <w:spacing w:after="80"/>
        <w:ind w:left="1872" w:hanging="576"/>
      </w:pPr>
      <w:r>
        <w:rPr>
          <w:rFonts w:ascii="Calibri" w:hAnsi="Calibri" w:cs="Calibri"/>
          <w:b w:val="0"/>
          <w:i w:val="0"/>
          <w:color w:val="000000"/>
          <w:sz w:val="22"/>
          <w:u w:val="none"/>
        </w:rPr>
        <w:t>5.4.1</w:t>
        <w:tab/>
      </w:r>
      <w:r>
        <w:rPr>
          <w:rFonts w:ascii="Calibri" w:hAnsi="Calibri" w:cs="Calibri"/>
          <w:b w:val="0"/>
          <w:i w:val="0"/>
          <w:color w:val="000000"/>
          <w:sz w:val="22"/>
          <w:u w:val="none"/>
        </w:rPr>
        <w:t>Supports review and execution of applicable service agreements and contracts where appropriate.</w:t>
      </w:r>
    </w:p>
    <w:p>
      <w:pPr>
        <w:keepNext/>
        <w:tabs>
          <w:tab w:pos="504" w:val="left"/>
        </w:tabs>
        <w:spacing w:before="160" w:after="80"/>
      </w:pPr>
      <w:r>
        <w:rPr>
          <w:rFonts w:ascii="Calibri" w:hAnsi="Calibri" w:cs="Calibri"/>
          <w:b/>
          <w:i w:val="0"/>
          <w:color w:val="000000"/>
          <w:sz w:val="22"/>
          <w:u w:val="none"/>
        </w:rPr>
        <w:t>6</w:t>
      </w:r>
      <w:r>
        <w:rPr>
          <w:rFonts w:ascii="Calibri" w:hAnsi="Calibri" w:cs="Calibri"/>
          <w:b/>
          <w:i w:val="0"/>
          <w:color w:val="000000"/>
          <w:sz w:val="22"/>
          <w:u w:val="none"/>
        </w:rPr>
        <w:tab/>
      </w:r>
      <w:r>
        <w:rPr>
          <w:rFonts w:ascii="Calibri" w:hAnsi="Calibri" w:cs="Calibri"/>
          <w:b/>
          <w:i w:val="0"/>
          <w:color w:val="000000"/>
          <w:sz w:val="22"/>
          <w:u w:val="none"/>
        </w:rPr>
        <w:t>PROCEDURE</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CSP Identification and Due Diligence</w:t>
      </w:r>
    </w:p>
    <w:p>
      <w:pPr>
        <w:tabs>
          <w:tab w:pos="1872" w:val="left"/>
        </w:tabs>
        <w:spacing w:after="80"/>
        <w:ind w:left="1872" w:hanging="576"/>
      </w:pPr>
      <w:r>
        <w:rPr>
          <w:rFonts w:ascii="Calibri" w:hAnsi="Calibri" w:cs="Calibri"/>
          <w:b w:val="0"/>
          <w:i w:val="0"/>
          <w:color w:val="000000"/>
          <w:sz w:val="22"/>
          <w:u w:val="none"/>
        </w:rPr>
        <w:t>6.1.1</w:t>
        <w:tab/>
      </w:r>
      <w:r>
        <w:rPr>
          <w:rFonts w:ascii="Calibri" w:hAnsi="Calibri" w:cs="Calibri"/>
          <w:b w:val="0"/>
          <w:i w:val="0"/>
          <w:color w:val="000000"/>
          <w:sz w:val="22"/>
          <w:u w:val="none"/>
        </w:rPr>
        <w:t>Functional Area Management or CSP Selection Team complete the Request for Proposal (RFP) and send it to CSP(s) and ensure an NDA or CDA is in place prior to discussing any proprietary information with a CSP.</w:t>
      </w:r>
    </w:p>
    <w:p>
      <w:pPr>
        <w:tabs>
          <w:tab w:pos="1872" w:val="left"/>
        </w:tabs>
        <w:spacing w:after="80"/>
        <w:ind w:left="1872" w:hanging="576"/>
      </w:pPr>
      <w:r>
        <w:rPr>
          <w:rFonts w:ascii="Calibri" w:hAnsi="Calibri" w:cs="Calibri"/>
          <w:b w:val="0"/>
          <w:i w:val="0"/>
          <w:color w:val="000000"/>
          <w:sz w:val="22"/>
          <w:u w:val="none"/>
        </w:rPr>
        <w:t>6.1.2</w:t>
        <w:tab/>
      </w:r>
      <w:r>
        <w:rPr>
          <w:rFonts w:ascii="Calibri" w:hAnsi="Calibri" w:cs="Calibri"/>
          <w:b w:val="0"/>
          <w:i w:val="0"/>
          <w:color w:val="000000"/>
          <w:sz w:val="22"/>
          <w:u w:val="none"/>
        </w:rPr>
        <w:t>Functional Area Management or CSP Selection Team may also send Questionnaires to the CSP(s) undergoing evaluation for specific inquiries on services.</w:t>
      </w:r>
    </w:p>
    <w:p>
      <w:pPr>
        <w:tabs>
          <w:tab w:pos="1872" w:val="left"/>
        </w:tabs>
        <w:spacing w:after="80"/>
        <w:ind w:left="1872" w:hanging="576"/>
      </w:pPr>
      <w:r>
        <w:rPr>
          <w:rFonts w:ascii="Calibri" w:hAnsi="Calibri" w:cs="Calibri"/>
          <w:b w:val="0"/>
          <w:i w:val="0"/>
          <w:color w:val="000000"/>
          <w:sz w:val="22"/>
          <w:u w:val="none"/>
        </w:rPr>
        <w:t>6.1.3</w:t>
        <w:tab/>
      </w:r>
      <w:r>
        <w:rPr>
          <w:rFonts w:ascii="Calibri" w:hAnsi="Calibri" w:cs="Calibri"/>
          <w:b w:val="0"/>
          <w:i w:val="0"/>
          <w:color w:val="000000"/>
          <w:sz w:val="22"/>
          <w:u w:val="none"/>
        </w:rPr>
        <w:t>The CSP Selection Team identify potential CSPs by comparing a CSP’s capabilities and competencies through the evaluation of the following information:</w:t>
      </w:r>
    </w:p>
    <w:p>
      <w:pPr>
        <w:tabs>
          <w:tab w:pos="2448" w:val="left"/>
        </w:tabs>
        <w:spacing w:after="80"/>
        <w:ind w:left="2448" w:hanging="576"/>
      </w:pPr>
      <w:r>
        <w:rPr>
          <w:rFonts w:ascii="Calibri" w:hAnsi="Calibri" w:cs="Calibri"/>
          <w:b w:val="0"/>
          <w:i w:val="0"/>
          <w:color w:val="000000"/>
          <w:sz w:val="22"/>
          <w:u w:val="none"/>
        </w:rPr>
        <w:t>6.1.3.1</w:t>
        <w:tab/>
      </w:r>
      <w:r>
        <w:rPr>
          <w:rFonts w:ascii="Calibri" w:hAnsi="Calibri" w:cs="Calibri"/>
          <w:b w:val="0"/>
          <w:i w:val="0"/>
          <w:color w:val="000000"/>
          <w:sz w:val="22"/>
          <w:u w:val="none"/>
        </w:rPr>
        <w:t>Request for proposal (RFP), where applicable</w:t>
      </w:r>
    </w:p>
    <w:p>
      <w:pPr>
        <w:tabs>
          <w:tab w:pos="2448" w:val="left"/>
        </w:tabs>
        <w:spacing w:after="80"/>
        <w:ind w:left="2448" w:hanging="576"/>
      </w:pPr>
      <w:r>
        <w:rPr>
          <w:rFonts w:ascii="Calibri" w:hAnsi="Calibri" w:cs="Calibri"/>
          <w:b w:val="0"/>
          <w:i w:val="0"/>
          <w:color w:val="000000"/>
          <w:sz w:val="22"/>
          <w:u w:val="none"/>
        </w:rPr>
        <w:t>6.1.3.2</w:t>
        <w:tab/>
      </w:r>
      <w:r>
        <w:rPr>
          <w:rFonts w:ascii="Calibri" w:hAnsi="Calibri" w:cs="Calibri"/>
          <w:b w:val="0"/>
          <w:i w:val="0"/>
          <w:color w:val="000000"/>
          <w:sz w:val="22"/>
          <w:u w:val="none"/>
        </w:rPr>
        <w:t>Completed CSP questionnaire</w:t>
      </w:r>
    </w:p>
    <w:p>
      <w:pPr>
        <w:tabs>
          <w:tab w:pos="2448" w:val="left"/>
        </w:tabs>
        <w:spacing w:after="80"/>
        <w:ind w:left="2448" w:hanging="576"/>
      </w:pPr>
      <w:r>
        <w:rPr>
          <w:rFonts w:ascii="Calibri" w:hAnsi="Calibri" w:cs="Calibri"/>
          <w:b w:val="0"/>
          <w:i w:val="0"/>
          <w:color w:val="000000"/>
          <w:sz w:val="22"/>
          <w:u w:val="none"/>
        </w:rPr>
        <w:t>6.1.3.3</w:t>
        <w:tab/>
      </w:r>
      <w:r>
        <w:rPr>
          <w:rFonts w:ascii="Calibri" w:hAnsi="Calibri" w:cs="Calibri"/>
          <w:b w:val="0"/>
          <w:i w:val="0"/>
          <w:color w:val="000000"/>
          <w:sz w:val="22"/>
          <w:u w:val="none"/>
        </w:rPr>
        <w:t>Technical capabilities</w:t>
      </w:r>
    </w:p>
    <w:p>
      <w:pPr>
        <w:tabs>
          <w:tab w:pos="2448" w:val="left"/>
        </w:tabs>
        <w:spacing w:after="80"/>
        <w:ind w:left="2448" w:hanging="576"/>
      </w:pPr>
      <w:r>
        <w:rPr>
          <w:rFonts w:ascii="Calibri" w:hAnsi="Calibri" w:cs="Calibri"/>
          <w:b w:val="0"/>
          <w:i w:val="0"/>
          <w:color w:val="000000"/>
          <w:sz w:val="22"/>
          <w:u w:val="none"/>
        </w:rPr>
        <w:t>6.1.3.4</w:t>
        <w:tab/>
      </w:r>
      <w:r>
        <w:rPr>
          <w:rFonts w:ascii="Calibri" w:hAnsi="Calibri" w:cs="Calibri"/>
          <w:b w:val="0"/>
          <w:i w:val="0"/>
          <w:color w:val="000000"/>
          <w:sz w:val="22"/>
          <w:u w:val="none"/>
        </w:rPr>
        <w:t>Operational performance/reputation/time in business</w:t>
      </w:r>
    </w:p>
    <w:p>
      <w:pPr>
        <w:tabs>
          <w:tab w:pos="2448" w:val="left"/>
        </w:tabs>
        <w:spacing w:after="80"/>
        <w:ind w:left="2448" w:hanging="576"/>
      </w:pPr>
      <w:r>
        <w:rPr>
          <w:rFonts w:ascii="Calibri" w:hAnsi="Calibri" w:cs="Calibri"/>
          <w:b w:val="0"/>
          <w:i w:val="0"/>
          <w:color w:val="000000"/>
          <w:sz w:val="22"/>
          <w:u w:val="none"/>
        </w:rPr>
        <w:t>6.1.3.5</w:t>
        <w:tab/>
      </w:r>
      <w:r>
        <w:rPr>
          <w:rFonts w:ascii="Calibri" w:hAnsi="Calibri" w:cs="Calibri"/>
          <w:b w:val="0"/>
          <w:i w:val="0"/>
          <w:color w:val="000000"/>
          <w:sz w:val="22"/>
          <w:u w:val="none"/>
        </w:rPr>
        <w:t>Business capabilities</w:t>
      </w:r>
    </w:p>
    <w:p>
      <w:pPr>
        <w:tabs>
          <w:tab w:pos="2448" w:val="left"/>
        </w:tabs>
        <w:spacing w:after="80"/>
        <w:ind w:left="2448" w:hanging="576"/>
      </w:pPr>
      <w:r>
        <w:rPr>
          <w:rFonts w:ascii="Calibri" w:hAnsi="Calibri" w:cs="Calibri"/>
          <w:b w:val="0"/>
          <w:i w:val="0"/>
          <w:color w:val="000000"/>
          <w:sz w:val="22"/>
          <w:u w:val="none"/>
        </w:rPr>
        <w:t>6.1.3.6</w:t>
        <w:tab/>
      </w:r>
      <w:r>
        <w:rPr>
          <w:rFonts w:ascii="Calibri" w:hAnsi="Calibri" w:cs="Calibri"/>
          <w:b w:val="0"/>
          <w:i w:val="0"/>
          <w:color w:val="000000"/>
          <w:sz w:val="22"/>
          <w:u w:val="none"/>
        </w:rPr>
        <w:t>Financial stability</w:t>
      </w:r>
    </w:p>
    <w:p>
      <w:pPr>
        <w:tabs>
          <w:tab w:pos="2448" w:val="left"/>
        </w:tabs>
        <w:spacing w:after="80"/>
        <w:ind w:left="2448" w:hanging="576"/>
      </w:pPr>
      <w:r>
        <w:rPr>
          <w:rFonts w:ascii="Calibri" w:hAnsi="Calibri" w:cs="Calibri"/>
          <w:b w:val="0"/>
          <w:i w:val="0"/>
          <w:color w:val="000000"/>
          <w:sz w:val="22"/>
          <w:u w:val="none"/>
        </w:rPr>
        <w:t>6.1.3.7</w:t>
        <w:tab/>
      </w:r>
      <w:r>
        <w:rPr>
          <w:rFonts w:ascii="Calibri" w:hAnsi="Calibri" w:cs="Calibri"/>
          <w:b w:val="0"/>
          <w:i w:val="0"/>
          <w:color w:val="000000"/>
          <w:sz w:val="22"/>
          <w:u w:val="none"/>
        </w:rPr>
        <w:t>Available company information, e.g., regulatory inspection history, quality and compliance history, and licensing.</w:t>
      </w:r>
    </w:p>
    <w:p>
      <w:pPr>
        <w:tabs>
          <w:tab w:pos="1296" w:val="left"/>
        </w:tabs>
        <w:spacing w:after="80"/>
        <w:ind w:left="1296" w:hanging="576"/>
      </w:pPr>
      <w:r>
        <w:rPr>
          <w:rFonts w:ascii="Calibri" w:hAnsi="Calibri" w:cs="Calibri"/>
          <w:b w:val="0"/>
          <w:i w:val="0"/>
          <w:color w:val="000000"/>
          <w:sz w:val="22"/>
          <w:u w:val="none"/>
        </w:rPr>
        <w:t>6.2</w:t>
        <w:tab/>
      </w:r>
      <w:r>
        <w:rPr>
          <w:rFonts w:ascii="Calibri" w:hAnsi="Calibri" w:cs="Calibri"/>
          <w:b w:val="0"/>
          <w:i w:val="0"/>
          <w:color w:val="000000"/>
          <w:sz w:val="22"/>
          <w:u w:val="none"/>
        </w:rPr>
        <w:t>Initiating CSP Selection</w:t>
      </w:r>
    </w:p>
    <w:p>
      <w:pPr>
        <w:tabs>
          <w:tab w:pos="1872" w:val="left"/>
        </w:tabs>
        <w:spacing w:after="80"/>
        <w:ind w:left="1872" w:hanging="576"/>
      </w:pPr>
      <w:r>
        <w:rPr>
          <w:rFonts w:ascii="Calibri" w:hAnsi="Calibri" w:cs="Calibri"/>
          <w:b w:val="0"/>
          <w:i w:val="0"/>
          <w:color w:val="000000"/>
          <w:sz w:val="22"/>
          <w:u w:val="none"/>
        </w:rPr>
        <w:t>6.2.1</w:t>
        <w:tab/>
      </w:r>
      <w:r>
        <w:rPr>
          <w:rFonts w:ascii="Calibri" w:hAnsi="Calibri" w:cs="Calibri"/>
          <w:b w:val="0"/>
          <w:i w:val="0"/>
          <w:color w:val="000000"/>
          <w:sz w:val="22"/>
          <w:u w:val="none"/>
        </w:rPr>
        <w:t>Qualification activities may be initiated when onboarding a new service provider or expanding the scope of services provided by an existing provider.</w:t>
      </w:r>
    </w:p>
    <w:p>
      <w:pPr>
        <w:tabs>
          <w:tab w:pos="1872" w:val="left"/>
        </w:tabs>
        <w:spacing w:after="80"/>
        <w:ind w:left="1872" w:hanging="576"/>
      </w:pPr>
      <w:r>
        <w:rPr>
          <w:rFonts w:ascii="Calibri" w:hAnsi="Calibri" w:cs="Calibri"/>
          <w:b w:val="0"/>
          <w:i w:val="0"/>
          <w:color w:val="000000"/>
          <w:sz w:val="22"/>
          <w:u w:val="none"/>
        </w:rPr>
        <w:t>6.2.2</w:t>
        <w:tab/>
      </w:r>
      <w:r>
        <w:rPr>
          <w:rFonts w:ascii="Calibri" w:hAnsi="Calibri" w:cs="Calibri"/>
          <w:b w:val="0"/>
          <w:i w:val="0"/>
          <w:color w:val="000000"/>
          <w:sz w:val="22"/>
          <w:u w:val="none"/>
        </w:rPr>
        <w:t>If the CSP is already approved by one Netramind functional area, documentation of the prior qualification assessment may be used, if appropriate.</w:t>
      </w:r>
    </w:p>
    <w:p>
      <w:pPr>
        <w:tabs>
          <w:tab w:pos="1296" w:val="left"/>
        </w:tabs>
        <w:spacing w:after="80"/>
        <w:ind w:left="1296" w:hanging="576"/>
      </w:pPr>
      <w:r>
        <w:rPr>
          <w:rFonts w:ascii="Calibri" w:hAnsi="Calibri" w:cs="Calibri"/>
          <w:b w:val="0"/>
          <w:i w:val="0"/>
          <w:color w:val="000000"/>
          <w:sz w:val="22"/>
          <w:u w:val="none"/>
        </w:rPr>
        <w:t>6.3</w:t>
        <w:tab/>
      </w:r>
      <w:r>
        <w:rPr>
          <w:rFonts w:ascii="Calibri" w:hAnsi="Calibri" w:cs="Calibri"/>
          <w:b w:val="0"/>
          <w:i w:val="0"/>
          <w:color w:val="000000"/>
          <w:sz w:val="22"/>
          <w:u w:val="none"/>
        </w:rPr>
        <w:t>CSP Evaluation Requirements</w:t>
      </w:r>
    </w:p>
    <w:p>
      <w:pPr>
        <w:tabs>
          <w:tab w:pos="1872" w:val="left"/>
        </w:tabs>
        <w:spacing w:after="80"/>
        <w:ind w:left="1872" w:hanging="576"/>
      </w:pPr>
      <w:r>
        <w:rPr>
          <w:rFonts w:ascii="Calibri" w:hAnsi="Calibri" w:cs="Calibri"/>
          <w:b w:val="0"/>
          <w:i w:val="0"/>
          <w:color w:val="000000"/>
          <w:sz w:val="22"/>
          <w:u w:val="none"/>
        </w:rPr>
        <w:t>6.3.1</w:t>
        <w:tab/>
      </w:r>
      <w:r>
        <w:rPr>
          <w:rFonts w:ascii="Calibri" w:hAnsi="Calibri" w:cs="Calibri"/>
          <w:b w:val="0"/>
          <w:i w:val="0"/>
          <w:color w:val="000000"/>
          <w:sz w:val="22"/>
          <w:u w:val="none"/>
        </w:rPr>
        <w:t>Service providers may be evaluated using a risk-based approach considering factors such as: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nature of services provided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impact on GxP activities or data integrity</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technical capabilities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security and confidentiality considerations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operational reliability</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prior experience or compliance history Evaluations may include questionnaires, meetings, documentation review, security assessments, or other qualification activities where appropriate.</w:t>
      </w:r>
    </w:p>
    <w:p>
      <w:pPr>
        <w:tabs>
          <w:tab w:pos="1296" w:val="left"/>
        </w:tabs>
        <w:spacing w:after="80"/>
        <w:ind w:left="1296" w:hanging="576"/>
      </w:pPr>
      <w:r>
        <w:rPr>
          <w:rFonts w:ascii="Calibri" w:hAnsi="Calibri" w:cs="Calibri"/>
          <w:b w:val="0"/>
          <w:i w:val="0"/>
          <w:color w:val="000000"/>
          <w:sz w:val="22"/>
          <w:u w:val="none"/>
        </w:rPr>
        <w:t>6.4</w:t>
        <w:tab/>
      </w:r>
      <w:r>
        <w:rPr>
          <w:rFonts w:ascii="Calibri" w:hAnsi="Calibri" w:cs="Calibri"/>
          <w:b w:val="0"/>
          <w:i w:val="0"/>
          <w:color w:val="000000"/>
          <w:sz w:val="22"/>
          <w:u w:val="none"/>
        </w:rPr>
        <w:t>Managing CSP Contracts</w:t>
      </w:r>
    </w:p>
    <w:p>
      <w:pPr>
        <w:tabs>
          <w:tab w:pos="1872" w:val="left"/>
        </w:tabs>
        <w:spacing w:after="80"/>
        <w:ind w:left="1872" w:hanging="576"/>
      </w:pPr>
      <w:r>
        <w:rPr>
          <w:rFonts w:ascii="Calibri" w:hAnsi="Calibri" w:cs="Calibri"/>
          <w:b w:val="0"/>
          <w:i w:val="0"/>
          <w:color w:val="000000"/>
          <w:sz w:val="22"/>
          <w:u w:val="none"/>
        </w:rPr>
        <w:t>6.4.1</w:t>
        <w:tab/>
      </w:r>
      <w:r>
        <w:rPr>
          <w:rFonts w:ascii="Calibri" w:hAnsi="Calibri" w:cs="Calibri"/>
          <w:b w:val="0"/>
          <w:i w:val="0"/>
          <w:color w:val="000000"/>
          <w:sz w:val="22"/>
          <w:u w:val="none"/>
        </w:rPr>
        <w:t>Functional Area Management coordinates with Legal to draft a Master Service Agreement (MSA), or Statement of Work (SOW), or other applicable contractual document, prior to starting any activities at the CSP.</w:t>
      </w:r>
    </w:p>
    <w:p>
      <w:pPr>
        <w:tabs>
          <w:tab w:pos="1872" w:val="left"/>
        </w:tabs>
        <w:spacing w:after="80"/>
        <w:ind w:left="1872" w:hanging="576"/>
      </w:pPr>
      <w:r>
        <w:rPr>
          <w:rFonts w:ascii="Calibri" w:hAnsi="Calibri" w:cs="Calibri"/>
          <w:b w:val="0"/>
          <w:i w:val="0"/>
          <w:color w:val="000000"/>
          <w:sz w:val="22"/>
          <w:u w:val="none"/>
        </w:rPr>
        <w:t>6.4.2</w:t>
        <w:tab/>
      </w:r>
      <w:r>
        <w:rPr>
          <w:rFonts w:ascii="Calibri" w:hAnsi="Calibri" w:cs="Calibri"/>
          <w:b w:val="0"/>
          <w:i w:val="0"/>
          <w:color w:val="000000"/>
          <w:sz w:val="22"/>
          <w:u w:val="none"/>
        </w:rPr>
        <w:t>The contract documents key study expectations (i.e., study/ project objectives, timelines, key milestones, requirements for deliverables, data protection, etc.).</w:t>
      </w:r>
    </w:p>
    <w:p>
      <w:pPr>
        <w:tabs>
          <w:tab w:pos="1872" w:val="left"/>
        </w:tabs>
        <w:spacing w:after="80"/>
        <w:ind w:left="1872" w:hanging="576"/>
      </w:pPr>
      <w:r>
        <w:rPr>
          <w:rFonts w:ascii="Calibri" w:hAnsi="Calibri" w:cs="Calibri"/>
          <w:b w:val="0"/>
          <w:i w:val="0"/>
          <w:color w:val="000000"/>
          <w:sz w:val="22"/>
          <w:u w:val="none"/>
        </w:rPr>
        <w:t>6.4.3</w:t>
        <w:tab/>
      </w:r>
      <w:r>
        <w:rPr>
          <w:rFonts w:ascii="Calibri" w:hAnsi="Calibri" w:cs="Calibri"/>
          <w:b w:val="0"/>
          <w:i w:val="0"/>
          <w:color w:val="000000"/>
          <w:sz w:val="22"/>
          <w:u w:val="none"/>
        </w:rPr>
        <w:t>Functional Area Management distributes the SOW to the selected CSP for review. Relevant project documentation (e.g., draft or final study protocol) may be shared with the CSP.</w:t>
      </w:r>
    </w:p>
    <w:p>
      <w:pPr>
        <w:tabs>
          <w:tab w:pos="1872" w:val="left"/>
        </w:tabs>
        <w:spacing w:after="80"/>
        <w:ind w:left="1872" w:hanging="576"/>
      </w:pPr>
      <w:r>
        <w:rPr>
          <w:rFonts w:ascii="Calibri" w:hAnsi="Calibri" w:cs="Calibri"/>
          <w:b w:val="0"/>
          <w:i w:val="0"/>
          <w:color w:val="000000"/>
          <w:sz w:val="22"/>
          <w:u w:val="none"/>
        </w:rPr>
        <w:t>6.4.4</w:t>
        <w:tab/>
      </w:r>
      <w:r>
        <w:rPr>
          <w:rFonts w:ascii="Calibri" w:hAnsi="Calibri" w:cs="Calibri"/>
          <w:b w:val="0"/>
          <w:i w:val="0"/>
          <w:color w:val="000000"/>
          <w:sz w:val="22"/>
          <w:u w:val="none"/>
        </w:rPr>
        <w:t>Functional Area Management determines if changes are needed to study contracts and notifies QA and RA of potential contractual changes.</w:t>
      </w:r>
    </w:p>
    <w:p>
      <w:pPr>
        <w:tabs>
          <w:tab w:pos="1872" w:val="left"/>
        </w:tabs>
        <w:spacing w:after="80"/>
        <w:ind w:left="1872" w:hanging="576"/>
      </w:pPr>
      <w:r>
        <w:rPr>
          <w:rFonts w:ascii="Calibri" w:hAnsi="Calibri" w:cs="Calibri"/>
          <w:b w:val="0"/>
          <w:i w:val="0"/>
          <w:color w:val="000000"/>
          <w:sz w:val="22"/>
          <w:u w:val="none"/>
        </w:rPr>
        <w:t>6.4.5</w:t>
        <w:tab/>
      </w:r>
      <w:r>
        <w:rPr>
          <w:rFonts w:ascii="Calibri" w:hAnsi="Calibri" w:cs="Calibri"/>
          <w:b w:val="0"/>
          <w:i w:val="0"/>
          <w:color w:val="000000"/>
          <w:sz w:val="22"/>
          <w:u w:val="none"/>
        </w:rPr>
        <w:t>Legal is responsible for management of service agreements and contracts for execution in addition to maintaining and filing all contracts in the designated Legal repository</w:t>
      </w:r>
    </w:p>
    <w:p>
      <w:pPr>
        <w:tabs>
          <w:tab w:pos="1296" w:val="left"/>
        </w:tabs>
        <w:spacing w:after="80"/>
        <w:ind w:left="1296" w:hanging="576"/>
      </w:pPr>
      <w:r>
        <w:rPr>
          <w:rFonts w:ascii="Calibri" w:hAnsi="Calibri" w:cs="Calibri"/>
          <w:b w:val="0"/>
          <w:i w:val="0"/>
          <w:color w:val="000000"/>
          <w:sz w:val="22"/>
          <w:u w:val="none"/>
        </w:rPr>
        <w:t>6.5</w:t>
        <w:tab/>
      </w:r>
      <w:r>
        <w:rPr>
          <w:rFonts w:ascii="Calibri" w:hAnsi="Calibri" w:cs="Calibri"/>
          <w:b w:val="0"/>
          <w:i w:val="0"/>
          <w:color w:val="000000"/>
          <w:sz w:val="22"/>
          <w:u w:val="none"/>
        </w:rPr>
        <w:t>Quality Agreement Requirements for GCP, GVP CSPs</w:t>
      </w:r>
    </w:p>
    <w:p>
      <w:pPr>
        <w:tabs>
          <w:tab w:pos="1872" w:val="left"/>
        </w:tabs>
        <w:spacing w:after="80"/>
        <w:ind w:left="1872" w:hanging="576"/>
      </w:pPr>
      <w:r>
        <w:rPr>
          <w:rFonts w:ascii="Calibri" w:hAnsi="Calibri" w:cs="Calibri"/>
          <w:b w:val="0"/>
          <w:i w:val="0"/>
          <w:color w:val="000000"/>
          <w:sz w:val="22"/>
          <w:u w:val="none"/>
        </w:rPr>
        <w:t>6.5.1</w:t>
        <w:tab/>
      </w:r>
      <w:r>
        <w:rPr>
          <w:rFonts w:ascii="Calibri" w:hAnsi="Calibri" w:cs="Calibri"/>
          <w:b w:val="0"/>
          <w:i w:val="0"/>
          <w:color w:val="000000"/>
          <w:sz w:val="22"/>
          <w:u w:val="none"/>
        </w:rPr>
        <w:t>Quality or technical agreements may be established with service providers where appropriate based on the nature of services provided and associated regulatory or operational risks.</w:t>
      </w:r>
    </w:p>
    <w:p>
      <w:pPr>
        <w:tabs>
          <w:tab w:pos="1296" w:val="left"/>
        </w:tabs>
        <w:spacing w:after="80"/>
        <w:ind w:left="1296" w:hanging="576"/>
      </w:pPr>
      <w:r>
        <w:rPr>
          <w:rFonts w:ascii="Calibri" w:hAnsi="Calibri" w:cs="Calibri"/>
          <w:b w:val="0"/>
          <w:i w:val="0"/>
          <w:color w:val="000000"/>
          <w:sz w:val="22"/>
          <w:u w:val="none"/>
        </w:rPr>
        <w:t>6.6</w:t>
        <w:tab/>
      </w:r>
      <w:r>
        <w:rPr>
          <w:rFonts w:ascii="Calibri" w:hAnsi="Calibri" w:cs="Calibri"/>
          <w:b w:val="0"/>
          <w:i w:val="0"/>
          <w:color w:val="000000"/>
          <w:sz w:val="22"/>
          <w:u w:val="none"/>
        </w:rPr>
        <w:t>Approved Service Provider (ASP) List</w:t>
      </w:r>
    </w:p>
    <w:p>
      <w:pPr>
        <w:tabs>
          <w:tab w:pos="1872" w:val="left"/>
        </w:tabs>
        <w:spacing w:after="80"/>
        <w:ind w:left="1872" w:hanging="576"/>
      </w:pPr>
      <w:r>
        <w:rPr>
          <w:rFonts w:ascii="Calibri" w:hAnsi="Calibri" w:cs="Calibri"/>
          <w:b w:val="0"/>
          <w:i w:val="0"/>
          <w:color w:val="000000"/>
          <w:sz w:val="22"/>
          <w:u w:val="none"/>
        </w:rPr>
        <w:t>6.6.1</w:t>
        <w:tab/>
      </w:r>
      <w:r>
        <w:rPr>
          <w:rFonts w:ascii="Calibri" w:hAnsi="Calibri" w:cs="Calibri"/>
          <w:b w:val="0"/>
          <w:i w:val="0"/>
          <w:color w:val="000000"/>
          <w:sz w:val="22"/>
          <w:u w:val="none"/>
        </w:rPr>
        <w:t>QA maintains an approved and version-controlled ASP List TMP-026-01 Approved Service Provider List.</w:t>
      </w:r>
    </w:p>
    <w:p>
      <w:pPr>
        <w:tabs>
          <w:tab w:pos="1872" w:val="left"/>
        </w:tabs>
        <w:spacing w:after="80"/>
        <w:ind w:left="1872" w:hanging="576"/>
      </w:pPr>
      <w:r>
        <w:rPr>
          <w:rFonts w:ascii="Calibri" w:hAnsi="Calibri" w:cs="Calibri"/>
          <w:b w:val="0"/>
          <w:i w:val="0"/>
          <w:color w:val="000000"/>
          <w:sz w:val="22"/>
          <w:u w:val="none"/>
        </w:rPr>
        <w:t>6.6.2</w:t>
        <w:tab/>
      </w:r>
      <w:r>
        <w:rPr>
          <w:rFonts w:ascii="Calibri" w:hAnsi="Calibri" w:cs="Calibri"/>
          <w:b w:val="0"/>
          <w:i w:val="0"/>
          <w:color w:val="000000"/>
          <w:sz w:val="22"/>
          <w:u w:val="none"/>
        </w:rPr>
        <w:t>QA updates the ASP List as CSPs are added and/or when a CSP status is changed.</w:t>
      </w:r>
    </w:p>
    <w:p>
      <w:pPr>
        <w:tabs>
          <w:tab w:pos="1872" w:val="left"/>
        </w:tabs>
        <w:spacing w:after="80"/>
        <w:ind w:left="1872" w:hanging="576"/>
      </w:pPr>
      <w:r>
        <w:rPr>
          <w:rFonts w:ascii="Calibri" w:hAnsi="Calibri" w:cs="Calibri"/>
          <w:b w:val="0"/>
          <w:i w:val="0"/>
          <w:color w:val="000000"/>
          <w:sz w:val="22"/>
          <w:u w:val="none"/>
        </w:rPr>
        <w:t>6.6.3</w:t>
        <w:tab/>
      </w:r>
      <w:r>
        <w:rPr>
          <w:rFonts w:ascii="Calibri" w:hAnsi="Calibri" w:cs="Calibri"/>
          <w:b w:val="0"/>
          <w:i w:val="0"/>
          <w:color w:val="000000"/>
          <w:sz w:val="22"/>
          <w:u w:val="none"/>
        </w:rPr>
        <w:t>QA conducts periodic review of the ASP List to ensure the following information is accurate:</w:t>
      </w:r>
    </w:p>
    <w:p>
      <w:pPr>
        <w:tabs>
          <w:tab w:pos="2448" w:val="left"/>
        </w:tabs>
        <w:spacing w:after="80"/>
        <w:ind w:left="2448" w:hanging="576"/>
      </w:pPr>
      <w:r>
        <w:rPr>
          <w:rFonts w:ascii="Calibri" w:hAnsi="Calibri" w:cs="Calibri"/>
          <w:b w:val="0"/>
          <w:i w:val="0"/>
          <w:color w:val="000000"/>
          <w:sz w:val="22"/>
          <w:u w:val="none"/>
        </w:rPr>
        <w:t>6.6.3.1</w:t>
        <w:tab/>
      </w:r>
      <w:r>
        <w:rPr>
          <w:rFonts w:ascii="Calibri" w:hAnsi="Calibri" w:cs="Calibri"/>
          <w:b w:val="0"/>
          <w:i w:val="0"/>
          <w:color w:val="000000"/>
          <w:sz w:val="22"/>
          <w:u w:val="none"/>
        </w:rPr>
        <w:t>CSP name and address</w:t>
      </w:r>
    </w:p>
    <w:p>
      <w:pPr>
        <w:tabs>
          <w:tab w:pos="2448" w:val="left"/>
        </w:tabs>
        <w:spacing w:after="80"/>
        <w:ind w:left="2448" w:hanging="576"/>
      </w:pPr>
      <w:r>
        <w:rPr>
          <w:rFonts w:ascii="Calibri" w:hAnsi="Calibri" w:cs="Calibri"/>
          <w:b w:val="0"/>
          <w:i w:val="0"/>
          <w:color w:val="000000"/>
          <w:sz w:val="22"/>
          <w:u w:val="none"/>
        </w:rPr>
        <w:t>6.6.3.2</w:t>
        <w:tab/>
      </w:r>
      <w:r>
        <w:rPr>
          <w:rFonts w:ascii="Calibri" w:hAnsi="Calibri" w:cs="Calibri"/>
          <w:b w:val="0"/>
          <w:i w:val="0"/>
          <w:color w:val="000000"/>
          <w:sz w:val="22"/>
          <w:u w:val="none"/>
        </w:rPr>
        <w:t>Material or services provided</w:t>
      </w:r>
    </w:p>
    <w:p>
      <w:pPr>
        <w:tabs>
          <w:tab w:pos="2448" w:val="left"/>
        </w:tabs>
        <w:spacing w:after="80"/>
        <w:ind w:left="2448" w:hanging="576"/>
      </w:pPr>
      <w:r>
        <w:rPr>
          <w:rFonts w:ascii="Calibri" w:hAnsi="Calibri" w:cs="Calibri"/>
          <w:b w:val="0"/>
          <w:i w:val="0"/>
          <w:color w:val="000000"/>
          <w:sz w:val="22"/>
          <w:u w:val="none"/>
        </w:rPr>
        <w:t>6.6.3.3</w:t>
        <w:tab/>
      </w:r>
      <w:r>
        <w:rPr>
          <w:rFonts w:ascii="Calibri" w:hAnsi="Calibri" w:cs="Calibri"/>
          <w:b w:val="0"/>
          <w:i w:val="0"/>
          <w:color w:val="000000"/>
          <w:sz w:val="22"/>
          <w:u w:val="none"/>
        </w:rPr>
        <w:t>Qualification status</w:t>
      </w:r>
    </w:p>
    <w:p>
      <w:pPr>
        <w:tabs>
          <w:tab w:pos="2448" w:val="left"/>
        </w:tabs>
        <w:spacing w:after="80"/>
        <w:ind w:left="2448" w:hanging="576"/>
      </w:pPr>
      <w:r>
        <w:rPr>
          <w:rFonts w:ascii="Calibri" w:hAnsi="Calibri" w:cs="Calibri"/>
          <w:b w:val="0"/>
          <w:i w:val="0"/>
          <w:color w:val="000000"/>
          <w:sz w:val="22"/>
          <w:u w:val="none"/>
        </w:rPr>
        <w:t>6.6.3.4</w:t>
        <w:tab/>
      </w:r>
      <w:r>
        <w:rPr>
          <w:rFonts w:ascii="Calibri" w:hAnsi="Calibri" w:cs="Calibri"/>
          <w:b w:val="0"/>
          <w:i w:val="0"/>
          <w:color w:val="000000"/>
          <w:sz w:val="22"/>
          <w:u w:val="none"/>
        </w:rPr>
        <w:t>Current Status (active/inactive)</w:t>
      </w:r>
    </w:p>
    <w:p>
      <w:pPr>
        <w:tabs>
          <w:tab w:pos="2448" w:val="left"/>
        </w:tabs>
        <w:spacing w:after="80"/>
        <w:ind w:left="2448" w:hanging="576"/>
      </w:pPr>
      <w:r>
        <w:rPr>
          <w:rFonts w:ascii="Calibri" w:hAnsi="Calibri" w:cs="Calibri"/>
          <w:b w:val="0"/>
          <w:i w:val="0"/>
          <w:color w:val="000000"/>
          <w:sz w:val="22"/>
          <w:u w:val="none"/>
        </w:rPr>
        <w:t>6.6.3.5</w:t>
        <w:tab/>
      </w:r>
      <w:r>
        <w:rPr>
          <w:rFonts w:ascii="Calibri" w:hAnsi="Calibri" w:cs="Calibri"/>
          <w:b w:val="0"/>
          <w:i w:val="0"/>
          <w:color w:val="000000"/>
          <w:sz w:val="22"/>
          <w:u w:val="none"/>
        </w:rPr>
        <w:t>Last compliance assessment or audit date</w:t>
      </w:r>
    </w:p>
    <w:p>
      <w:pPr>
        <w:tabs>
          <w:tab w:pos="1872" w:val="left"/>
        </w:tabs>
        <w:spacing w:after="80"/>
        <w:ind w:left="1872" w:hanging="576"/>
      </w:pPr>
      <w:r>
        <w:rPr>
          <w:rFonts w:ascii="Calibri" w:hAnsi="Calibri" w:cs="Calibri"/>
          <w:b w:val="0"/>
          <w:i w:val="0"/>
          <w:color w:val="000000"/>
          <w:sz w:val="22"/>
          <w:u w:val="none"/>
        </w:rPr>
        <w:t>6.6.4</w:t>
        <w:tab/>
      </w:r>
      <w:r>
        <w:rPr>
          <w:rFonts w:ascii="Calibri" w:hAnsi="Calibri" w:cs="Calibri"/>
          <w:b w:val="0"/>
          <w:i w:val="0"/>
          <w:color w:val="000000"/>
          <w:sz w:val="22"/>
          <w:u w:val="none"/>
        </w:rPr>
        <w:t>Re-evaluation of a CSP may be performed sooner as a result of critical observations made from an on-site audit, observations issued from a regulatory inspection, or trends witnessed from other Netramind systems.</w:t>
      </w:r>
    </w:p>
    <w:p>
      <w:pPr>
        <w:tabs>
          <w:tab w:pos="1872" w:val="left"/>
        </w:tabs>
        <w:spacing w:after="80"/>
        <w:ind w:left="1872" w:hanging="576"/>
      </w:pPr>
      <w:r>
        <w:rPr>
          <w:rFonts w:ascii="Calibri" w:hAnsi="Calibri" w:cs="Calibri"/>
          <w:b w:val="0"/>
          <w:i w:val="0"/>
          <w:color w:val="000000"/>
          <w:sz w:val="22"/>
          <w:u w:val="none"/>
        </w:rPr>
        <w:t>6.6.5</w:t>
        <w:tab/>
      </w:r>
      <w:r>
        <w:rPr>
          <w:rFonts w:ascii="Calibri" w:hAnsi="Calibri" w:cs="Calibri"/>
          <w:b w:val="0"/>
          <w:i w:val="0"/>
          <w:color w:val="000000"/>
          <w:sz w:val="22"/>
          <w:u w:val="none"/>
        </w:rPr>
        <w:t>Restrictions, concerns, or required follow-up actions associated with conditionally approved providers may be documented and managed appropriately.</w:t>
      </w:r>
    </w:p>
    <w:p>
      <w:pPr>
        <w:tabs>
          <w:tab w:pos="1296" w:val="left"/>
        </w:tabs>
        <w:spacing w:after="80"/>
        <w:ind w:left="1296" w:hanging="576"/>
      </w:pPr>
      <w:r>
        <w:rPr>
          <w:rFonts w:ascii="Calibri" w:hAnsi="Calibri" w:cs="Calibri"/>
          <w:b w:val="0"/>
          <w:i w:val="0"/>
          <w:color w:val="000000"/>
          <w:sz w:val="22"/>
          <w:u w:val="none"/>
        </w:rPr>
        <w:t>6.7</w:t>
        <w:tab/>
      </w:r>
      <w:r>
        <w:rPr>
          <w:rFonts w:ascii="Calibri" w:hAnsi="Calibri" w:cs="Calibri"/>
          <w:b w:val="0"/>
          <w:i w:val="0"/>
          <w:color w:val="000000"/>
          <w:sz w:val="22"/>
          <w:u w:val="none"/>
        </w:rPr>
        <w:t>Changes within a CSP</w:t>
      </w:r>
    </w:p>
    <w:p>
      <w:pPr>
        <w:tabs>
          <w:tab w:pos="1872" w:val="left"/>
        </w:tabs>
        <w:spacing w:after="80"/>
        <w:ind w:left="1872" w:hanging="576"/>
      </w:pPr>
      <w:r>
        <w:rPr>
          <w:rFonts w:ascii="Calibri" w:hAnsi="Calibri" w:cs="Calibri"/>
          <w:b w:val="0"/>
          <w:i w:val="0"/>
          <w:color w:val="000000"/>
          <w:sz w:val="22"/>
          <w:u w:val="none"/>
        </w:rPr>
        <w:t>6.7.1</w:t>
        <w:tab/>
      </w:r>
      <w:r>
        <w:rPr>
          <w:rFonts w:ascii="Calibri" w:hAnsi="Calibri" w:cs="Calibri"/>
          <w:b w:val="0"/>
          <w:i w:val="0"/>
          <w:color w:val="000000"/>
          <w:sz w:val="22"/>
          <w:u w:val="none"/>
        </w:rPr>
        <w:t>Notification of CSP organization changes in ownership or name change that have no impact on service provided will be filed within QA. No evaluation/re-evaluation is necessary.</w:t>
      </w:r>
    </w:p>
    <w:p>
      <w:pPr>
        <w:tabs>
          <w:tab w:pos="1872" w:val="left"/>
        </w:tabs>
        <w:spacing w:after="80"/>
        <w:ind w:left="1872" w:hanging="576"/>
      </w:pPr>
      <w:r>
        <w:rPr>
          <w:rFonts w:ascii="Calibri" w:hAnsi="Calibri" w:cs="Calibri"/>
          <w:b w:val="0"/>
          <w:i w:val="0"/>
          <w:color w:val="000000"/>
          <w:sz w:val="22"/>
          <w:u w:val="none"/>
        </w:rPr>
        <w:t>6.7.2</w:t>
        <w:tab/>
      </w:r>
      <w:r>
        <w:rPr>
          <w:rFonts w:ascii="Calibri" w:hAnsi="Calibri" w:cs="Calibri"/>
          <w:b w:val="0"/>
          <w:i w:val="0"/>
          <w:color w:val="000000"/>
          <w:sz w:val="22"/>
          <w:u w:val="none"/>
        </w:rPr>
        <w:t>Organizational changes that result in an impact on service will require CSP evaluation according to Section 6.2.</w:t>
      </w:r>
    </w:p>
    <w:p>
      <w:pPr>
        <w:tabs>
          <w:tab w:pos="1872" w:val="left"/>
        </w:tabs>
        <w:spacing w:after="80"/>
        <w:ind w:left="1872" w:hanging="576"/>
      </w:pPr>
      <w:r>
        <w:rPr>
          <w:rFonts w:ascii="Calibri" w:hAnsi="Calibri" w:cs="Calibri"/>
          <w:b w:val="0"/>
          <w:i w:val="0"/>
          <w:color w:val="000000"/>
          <w:sz w:val="22"/>
          <w:u w:val="none"/>
        </w:rPr>
        <w:t>6.7.3</w:t>
        <w:tab/>
      </w:r>
      <w:r>
        <w:rPr>
          <w:rFonts w:ascii="Calibri" w:hAnsi="Calibri" w:cs="Calibri"/>
          <w:b w:val="0"/>
          <w:i w:val="0"/>
          <w:color w:val="000000"/>
          <w:sz w:val="22"/>
          <w:u w:val="none"/>
        </w:rPr>
        <w:t>Any other administrative changes, including mailing address or CSP contacts, can be updated on the next evaluation/re-evaluation form. No evaluation/re-evaluation is necessary.</w:t>
      </w:r>
    </w:p>
    <w:p>
      <w:pPr>
        <w:tabs>
          <w:tab w:pos="1296" w:val="left"/>
        </w:tabs>
        <w:spacing w:after="80"/>
        <w:ind w:left="1296" w:hanging="576"/>
      </w:pPr>
      <w:r>
        <w:rPr>
          <w:rFonts w:ascii="Calibri" w:hAnsi="Calibri" w:cs="Calibri"/>
          <w:b w:val="0"/>
          <w:i w:val="0"/>
          <w:color w:val="000000"/>
          <w:sz w:val="22"/>
          <w:u w:val="none"/>
        </w:rPr>
        <w:t>6.8</w:t>
        <w:tab/>
      </w:r>
      <w:r>
        <w:rPr>
          <w:rFonts w:ascii="Calibri" w:hAnsi="Calibri" w:cs="Calibri"/>
          <w:b w:val="0"/>
          <w:i w:val="0"/>
          <w:color w:val="000000"/>
          <w:sz w:val="22"/>
          <w:u w:val="none"/>
        </w:rPr>
        <w:t>Records</w:t>
      </w:r>
    </w:p>
    <w:p>
      <w:pPr>
        <w:tabs>
          <w:tab w:pos="1872" w:val="left"/>
        </w:tabs>
        <w:spacing w:after="80"/>
        <w:ind w:left="1872" w:hanging="576"/>
      </w:pPr>
      <w:r>
        <w:rPr>
          <w:rFonts w:ascii="Calibri" w:hAnsi="Calibri" w:cs="Calibri"/>
          <w:b w:val="0"/>
          <w:i w:val="0"/>
          <w:color w:val="000000"/>
          <w:sz w:val="22"/>
          <w:u w:val="none"/>
        </w:rPr>
        <w:t>6.8.1</w:t>
        <w:tab/>
      </w:r>
      <w:r>
        <w:rPr>
          <w:rFonts w:ascii="Calibri" w:hAnsi="Calibri" w:cs="Calibri"/>
          <w:b w:val="0"/>
          <w:i w:val="0"/>
          <w:color w:val="000000"/>
          <w:sz w:val="22"/>
          <w:u w:val="none"/>
        </w:rPr>
        <w:t>Legal maintains copies of all contracts in a secure folder.</w:t>
      </w:r>
    </w:p>
    <w:p>
      <w:pPr>
        <w:tabs>
          <w:tab w:pos="1872" w:val="left"/>
        </w:tabs>
        <w:spacing w:after="80"/>
        <w:ind w:left="1872" w:hanging="576"/>
      </w:pPr>
      <w:r>
        <w:rPr>
          <w:rFonts w:ascii="Calibri" w:hAnsi="Calibri" w:cs="Calibri"/>
          <w:b w:val="0"/>
          <w:i w:val="0"/>
          <w:color w:val="000000"/>
          <w:sz w:val="22"/>
          <w:u w:val="none"/>
        </w:rPr>
        <w:t>6.8.2</w:t>
        <w:tab/>
      </w:r>
      <w:r>
        <w:rPr>
          <w:rFonts w:ascii="Calibri" w:hAnsi="Calibri" w:cs="Calibri"/>
          <w:b w:val="0"/>
          <w:i w:val="0"/>
          <w:color w:val="000000"/>
          <w:sz w:val="22"/>
          <w:u w:val="none"/>
        </w:rPr>
        <w:t>QA maintains all versions of the Approved Service Providers (ASP) List</w:t>
      </w:r>
    </w:p>
    <w:p>
      <w:pPr>
        <w:tabs>
          <w:tab w:pos="1872" w:val="left"/>
        </w:tabs>
        <w:spacing w:after="80"/>
        <w:ind w:left="1872" w:hanging="576"/>
      </w:pPr>
      <w:r>
        <w:rPr>
          <w:rFonts w:ascii="Calibri" w:hAnsi="Calibri" w:cs="Calibri"/>
          <w:b w:val="0"/>
          <w:i w:val="0"/>
          <w:color w:val="000000"/>
          <w:sz w:val="22"/>
          <w:u w:val="none"/>
        </w:rPr>
        <w:t>6.8.3</w:t>
        <w:tab/>
      </w:r>
      <w:r>
        <w:rPr>
          <w:rFonts w:ascii="Calibri" w:hAnsi="Calibri" w:cs="Calibri"/>
          <w:b w:val="0"/>
          <w:i w:val="0"/>
          <w:color w:val="000000"/>
          <w:sz w:val="22"/>
          <w:u w:val="none"/>
        </w:rPr>
        <w:t>Functional Area Leads ensure that CSP communication (ex: CSP presentations, bids, TOROs, project reviews, CAPA plans, SOW, etc.) are filed in the appropriate sections of the study TMF or a designated secure repository</w:t>
      </w:r>
    </w:p>
    <w:p>
      <w:pPr>
        <w:keepNext/>
        <w:tabs>
          <w:tab w:pos="504" w:val="left"/>
        </w:tabs>
        <w:spacing w:before="160" w:after="80"/>
      </w:pPr>
      <w:r>
        <w:rPr>
          <w:rFonts w:ascii="Calibri" w:hAnsi="Calibri" w:cs="Calibri"/>
          <w:b/>
          <w:i w:val="0"/>
          <w:color w:val="000000"/>
          <w:sz w:val="22"/>
          <w:u w:val="none"/>
        </w:rPr>
        <w:t>7</w:t>
      </w:r>
      <w:r>
        <w:rPr>
          <w:rFonts w:ascii="Calibri" w:hAnsi="Calibri" w:cs="Calibri"/>
          <w:b/>
          <w:i w:val="0"/>
          <w:color w:val="000000"/>
          <w:sz w:val="22"/>
          <w:u w:val="none"/>
        </w:rPr>
        <w:tab/>
      </w:r>
      <w:r>
        <w:rPr>
          <w:rFonts w:ascii="Calibri" w:hAnsi="Calibri" w:cs="Calibri"/>
          <w:b/>
          <w:i w:val="0"/>
          <w:color w:val="000000"/>
          <w:sz w:val="22"/>
          <w:u w:val="none"/>
        </w:rPr>
        <w:t>ATTACHMENTS</w:t>
      </w:r>
    </w:p>
    <w:p>
      <w:pPr>
        <w:spacing w:after="120"/>
        <w:ind w:left="504"/>
      </w:pPr>
      <w:r>
        <w:rPr>
          <w:rFonts w:ascii="Calibri" w:hAnsi="Calibri" w:cs="Calibri"/>
          <w:b w:val="0"/>
          <w:i w:val="0"/>
          <w:color w:val="000000"/>
          <w:sz w:val="22"/>
          <w:u w:val="none"/>
        </w:rPr>
        <w:t>Appendix A: APPROVED SERVICE PROVIDER (ASP) STATUS FRM-026-01 CSP Evaluation form TMP-026-01 Approved Service Provider (ASP) List</w:t>
      </w:r>
    </w:p>
    <w:p>
      <w:pPr>
        <w:keepNext/>
        <w:tabs>
          <w:tab w:pos="504" w:val="left"/>
        </w:tabs>
        <w:spacing w:before="160" w:after="80"/>
      </w:pPr>
      <w:r>
        <w:rPr>
          <w:rFonts w:ascii="Calibri" w:hAnsi="Calibri" w:cs="Calibri"/>
          <w:b/>
          <w:i w:val="0"/>
          <w:color w:val="000000"/>
          <w:sz w:val="22"/>
          <w:u w:val="none"/>
        </w:rPr>
        <w:t>8</w:t>
      </w:r>
      <w:r>
        <w:rPr>
          <w:rFonts w:ascii="Calibri" w:hAnsi="Calibri" w:cs="Calibri"/>
          <w:b/>
          <w:i w:val="0"/>
          <w:color w:val="000000"/>
          <w:sz w:val="22"/>
          <w:u w:val="none"/>
        </w:rPr>
        <w:tab/>
      </w:r>
      <w:r>
        <w:rPr>
          <w:rFonts w:ascii="Calibri" w:hAnsi="Calibri" w:cs="Calibri"/>
          <w:b/>
          <w:i w:val="0"/>
          <w:color w:val="000000"/>
          <w:sz w:val="22"/>
          <w:u w:val="none"/>
        </w:rPr>
        <w:t>REVISION HISTORY</w:t>
      </w:r>
    </w:p>
    <w:p>
      <w:pPr>
        <w:spacing w:after="120"/>
        <w:ind w:left="504"/>
      </w:pPr>
      <w:r>
        <w:rPr>
          <w:rFonts w:ascii="Calibri" w:hAnsi="Calibri" w:cs="Calibri"/>
          <w:b w:val="0"/>
          <w:i w:val="0"/>
          <w:color w:val="000000"/>
          <w:sz w:val="22"/>
          <w:u w:val="none"/>
        </w:rPr>
        <w:t>Version Number Date Summary of Change(s) 01 22-MAY-2026 New Document SIGNATURE PAGE [ADD ADDITIONAL ROWS AS NEEDED] Author: NAME TITLE SIGNATURE DATE DD-MMM- YYYY Justin Shaka Fractional COO Reviewer: NAME TITLE SIGNATURE DATE Jay Chhablani President Approver: NAME TITLE SIGNATURE DATE Sandeep Chandra Director of AI Bollepalli APPENDIX A: APPROVED SERVICE PROVIDER (ASP) STATUS TABLE 1 – CLINICAL SERVICE PROVIDER (GCP/GVP) QA Status Criteria Associated Actions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A CSP’s audit/ assessment is satisfactory, • The CSP is monitored per the approved QA Approved and all other requirements are satisfied Audit Schedule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One or more of the requirements for approval are in progress, provided target • Initiating a higher level of Quality oversight on due dates are established and monitored the product/ service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Adequate corrective and preventative • QA may develop a compliance plan that actions (CAPAs) are pending outlines remediation before further activities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Adequate Quality oversight is pending may be conducted by the CSP. Conditionall • Business interruptions are affecting • A “Conditionally Approved” CSP may be y Approved products and/or services (i.e., catastrophic “Approved” when CAPAs are completed, or events) observations are remedied.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Regulatory issues/ actions that could • An “Approved” CSP may be “Disqualified” if impact the products/ services provided to CAPAs and/or remediations do not resolve Netramind are ongoing issues.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Critical audit observations and other • Any status change must be approved by QA. compliance issues are noted after approval</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QA and Functional Area Managers (or designee) identifies “Inactive” CSPs during periodic review of the GCP AVL</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A list of “Inactive” CSPs is maintained by QA.</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“Inactive” CSPs may not be used for any</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Services are no longer being used by Inactive services. Netramind and are not actively monitored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An initiator notifies QA when an “Inactive” GCP CSP is identified for use and requalification is needed.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QA conducts an audit or assessment to change an “Inactive” CSP to “Approved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A CSP’s overall compliance or regulatory inspection history is found to be • If a CSP is unable or unwilling to complete unsatisfactory remediation and/or CAPA Plans, the CSP is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A CSP is unable to meet or maintain “Disqualified,” removed from the AVL and may Disqualified additional requirements required for not be used for any services by Netramind. “Approval” status (i.e., missing key • Changing a CSP’s status to “Disqualified” is milestones, inability to execute activities on made by both QA and Netramind management. the SOW, etc.)</w:t>
      </w:r>
    </w:p>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SOP-026</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22-MAY-2026</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Contract Service Provider Selection and Qualification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