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left="504"/>
      </w:pPr>
      <w:r>
        <w:rPr>
          <w:rFonts w:ascii="Calibri" w:hAnsi="Calibri" w:cs="Calibri"/>
          <w:b w:val="0"/>
          <w:i w:val="0"/>
          <w:color w:val="000000"/>
          <w:sz w:val="22"/>
          <w:u w:val="none"/>
        </w:rPr>
        <w:t>PURPOSE This procedure describes the roles and responsibilities for managing GxP inspections by Regulatory Authority of Netramind facilities. SCOPE This procedure describes the preparation for and management of regulatory authority inspections or sponsor audits involving Netramind personnel, computerized systems, records, facilities, or GxP-regulated activities. Regulatory authorities may include agencies such as the U.S. Food and Drug Administration (FDA) or other applicable health authorities. 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SOP-006 Deviation Management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SOP-007 Corrective and Preventive Action Management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SOP-004 GxP Records Retention. DEFINITIONS</w:t>
      </w:r>
    </w:p>
    <w:p>
      <w:pPr>
        <w:tabs>
          <w:tab w:pos="1296" w:val="left"/>
        </w:tabs>
        <w:spacing w:after="80"/>
        <w:ind w:left="1296" w:hanging="576"/>
      </w:pPr>
      <w:r>
        <w:rPr>
          <w:rFonts w:ascii="Calibri" w:hAnsi="Calibri" w:cs="Calibri"/>
          <w:b w:val="0"/>
          <w:i w:val="0"/>
          <w:color w:val="000000"/>
          <w:sz w:val="22"/>
          <w:u w:val="none"/>
        </w:rPr>
        <w:t>1.1</w:t>
        <w:tab/>
      </w:r>
      <w:r>
        <w:rPr>
          <w:rFonts w:ascii="Calibri" w:hAnsi="Calibri" w:cs="Calibri"/>
          <w:b w:val="0"/>
          <w:i w:val="0"/>
          <w:color w:val="000000"/>
          <w:sz w:val="22"/>
          <w:u w:val="none"/>
        </w:rPr>
        <w:t>Corrective and Preventive Action (CAPA)— A systematic approach that includes actions needed to correct (“correction”), prevent recurrence (“corrective action”), and eliminate the cause of potential nonconforming product and other quality problems (preventive action).</w:t>
      </w:r>
    </w:p>
    <w:p>
      <w:pPr>
        <w:tabs>
          <w:tab w:pos="1296" w:val="left"/>
        </w:tabs>
        <w:spacing w:after="80"/>
        <w:ind w:left="1296" w:hanging="576"/>
      </w:pPr>
      <w:r>
        <w:rPr>
          <w:rFonts w:ascii="Calibri" w:hAnsi="Calibri" w:cs="Calibri"/>
          <w:b w:val="0"/>
          <w:i w:val="0"/>
          <w:color w:val="000000"/>
          <w:sz w:val="22"/>
          <w:u w:val="none"/>
        </w:rPr>
        <w:t>1.2</w:t>
        <w:tab/>
      </w:r>
      <w:r>
        <w:rPr>
          <w:rFonts w:ascii="Calibri" w:hAnsi="Calibri" w:cs="Calibri"/>
          <w:b w:val="0"/>
          <w:i w:val="0"/>
          <w:color w:val="000000"/>
          <w:sz w:val="22"/>
          <w:u w:val="none"/>
        </w:rPr>
        <w:t>Establishment Inspection Report (EIR)—A formal report from the U.S. FDA that detail the outcome and findings of the inspection of a regulated manufacturing facility or drug establishment.</w:t>
      </w:r>
    </w:p>
    <w:p>
      <w:pPr>
        <w:tabs>
          <w:tab w:pos="1296" w:val="left"/>
        </w:tabs>
        <w:spacing w:after="80"/>
        <w:ind w:left="1296" w:hanging="576"/>
      </w:pPr>
      <w:r>
        <w:rPr>
          <w:rFonts w:ascii="Calibri" w:hAnsi="Calibri" w:cs="Calibri"/>
          <w:b w:val="0"/>
          <w:i w:val="0"/>
          <w:color w:val="000000"/>
          <w:sz w:val="22"/>
          <w:u w:val="none"/>
        </w:rPr>
        <w:t>1.3</w:t>
        <w:tab/>
      </w:r>
      <w:r>
        <w:rPr>
          <w:rFonts w:ascii="Calibri" w:hAnsi="Calibri" w:cs="Calibri"/>
          <w:b w:val="0"/>
          <w:i w:val="0"/>
          <w:color w:val="000000"/>
          <w:sz w:val="22"/>
          <w:u w:val="none"/>
        </w:rPr>
        <w:t>Form FDA 482—FDA Notice of Inspection provided to U.S.-based auditees by an Inspector prior to or at the beginning of an official inspection.</w:t>
      </w:r>
    </w:p>
    <w:p>
      <w:pPr>
        <w:tabs>
          <w:tab w:pos="1296" w:val="left"/>
        </w:tabs>
        <w:spacing w:after="80"/>
        <w:ind w:left="1296" w:hanging="576"/>
      </w:pPr>
      <w:r>
        <w:rPr>
          <w:rFonts w:ascii="Calibri" w:hAnsi="Calibri" w:cs="Calibri"/>
          <w:b w:val="0"/>
          <w:i w:val="0"/>
          <w:color w:val="000000"/>
          <w:sz w:val="22"/>
          <w:u w:val="none"/>
        </w:rPr>
        <w:t>1.4</w:t>
        <w:tab/>
      </w:r>
      <w:r>
        <w:rPr>
          <w:rFonts w:ascii="Calibri" w:hAnsi="Calibri" w:cs="Calibri"/>
          <w:b w:val="0"/>
          <w:i w:val="0"/>
          <w:color w:val="000000"/>
          <w:sz w:val="22"/>
          <w:u w:val="none"/>
        </w:rPr>
        <w:t>Form FDA 483—Form used by the FDA to document and communicate concerns discovered during an inspection. The list of observations (i.e., 483s) is presented to the auditee by an Inspector at the conclusion of an inspection.</w:t>
      </w:r>
    </w:p>
    <w:p>
      <w:pPr>
        <w:tabs>
          <w:tab w:pos="1296" w:val="left"/>
        </w:tabs>
        <w:spacing w:after="80"/>
        <w:ind w:left="1296" w:hanging="576"/>
      </w:pPr>
      <w:r>
        <w:rPr>
          <w:rFonts w:ascii="Calibri" w:hAnsi="Calibri" w:cs="Calibri"/>
          <w:b w:val="0"/>
          <w:i w:val="0"/>
          <w:color w:val="000000"/>
          <w:sz w:val="22"/>
          <w:u w:val="none"/>
        </w:rPr>
        <w:t>1.5</w:t>
        <w:tab/>
      </w:r>
      <w:r>
        <w:rPr>
          <w:rFonts w:ascii="Calibri" w:hAnsi="Calibri" w:cs="Calibri"/>
          <w:b w:val="0"/>
          <w:i w:val="0"/>
          <w:color w:val="000000"/>
          <w:sz w:val="22"/>
          <w:u w:val="none"/>
        </w:rPr>
        <w:t>Inspection—The review and evaluation by a Regulatory Agency of a drug establishment facility and/or the management of study activities to determine compliance with applicable regulations.</w:t>
      </w:r>
    </w:p>
    <w:p>
      <w:pPr>
        <w:tabs>
          <w:tab w:pos="1296" w:val="left"/>
        </w:tabs>
        <w:spacing w:after="80"/>
        <w:ind w:left="1296" w:hanging="576"/>
      </w:pPr>
      <w:r>
        <w:rPr>
          <w:rFonts w:ascii="Calibri" w:hAnsi="Calibri" w:cs="Calibri"/>
          <w:b w:val="0"/>
          <w:i w:val="0"/>
          <w:color w:val="000000"/>
          <w:sz w:val="22"/>
          <w:u w:val="none"/>
        </w:rPr>
        <w:t>1.6</w:t>
        <w:tab/>
      </w:r>
      <w:r>
        <w:rPr>
          <w:rFonts w:ascii="Calibri" w:hAnsi="Calibri" w:cs="Calibri"/>
          <w:b w:val="0"/>
          <w:i w:val="0"/>
          <w:color w:val="000000"/>
          <w:sz w:val="22"/>
          <w:u w:val="none"/>
        </w:rPr>
        <w:t>Inspection Host—The designated Sponsor representative who is the primary point of contact to interact with the Inspector(s) and coordinates activities within the Inspection Room. The Host typically receives the formal inspection notice (e.g., FDA Form 482).</w:t>
      </w:r>
    </w:p>
    <w:p>
      <w:pPr>
        <w:tabs>
          <w:tab w:pos="1296" w:val="left"/>
        </w:tabs>
        <w:spacing w:after="80"/>
        <w:ind w:left="1296" w:hanging="576"/>
      </w:pPr>
      <w:r>
        <w:rPr>
          <w:rFonts w:ascii="Calibri" w:hAnsi="Calibri" w:cs="Calibri"/>
          <w:b w:val="0"/>
          <w:i w:val="0"/>
          <w:color w:val="000000"/>
          <w:sz w:val="22"/>
          <w:u w:val="none"/>
        </w:rPr>
        <w:t>1.7</w:t>
        <w:tab/>
      </w:r>
      <w:r>
        <w:rPr>
          <w:rFonts w:ascii="Calibri" w:hAnsi="Calibri" w:cs="Calibri"/>
          <w:b w:val="0"/>
          <w:i w:val="0"/>
          <w:color w:val="000000"/>
          <w:sz w:val="22"/>
          <w:u w:val="none"/>
        </w:rPr>
        <w:t>Inspection Request – An inquiry from the Inspector for Netramind to provide documents, subject matter experts as part of the inspection process.</w:t>
      </w:r>
    </w:p>
    <w:p>
      <w:pPr>
        <w:tabs>
          <w:tab w:pos="1296" w:val="left"/>
        </w:tabs>
        <w:spacing w:after="80"/>
        <w:ind w:left="1296" w:hanging="576"/>
      </w:pPr>
      <w:r>
        <w:rPr>
          <w:rFonts w:ascii="Calibri" w:hAnsi="Calibri" w:cs="Calibri"/>
          <w:b w:val="0"/>
          <w:i w:val="0"/>
          <w:color w:val="000000"/>
          <w:sz w:val="22"/>
          <w:u w:val="none"/>
        </w:rPr>
        <w:t>1.8</w:t>
        <w:tab/>
      </w:r>
      <w:r>
        <w:rPr>
          <w:rFonts w:ascii="Calibri" w:hAnsi="Calibri" w:cs="Calibri"/>
          <w:b w:val="0"/>
          <w:i w:val="0"/>
          <w:color w:val="000000"/>
          <w:sz w:val="22"/>
          <w:u w:val="none"/>
        </w:rPr>
        <w:t>Inspection Report—Report prepared by the Official representing the EMA stating if the inspected company complies with the EU Clinical Trials Regulation (CTR; EU No. 536/2014).</w:t>
      </w:r>
    </w:p>
    <w:p>
      <w:pPr>
        <w:tabs>
          <w:tab w:pos="1296" w:val="left"/>
        </w:tabs>
        <w:spacing w:after="80"/>
        <w:ind w:left="1296" w:hanging="576"/>
      </w:pPr>
      <w:r>
        <w:rPr>
          <w:rFonts w:ascii="Calibri" w:hAnsi="Calibri" w:cs="Calibri"/>
          <w:b w:val="0"/>
          <w:i w:val="0"/>
          <w:color w:val="000000"/>
          <w:sz w:val="22"/>
          <w:u w:val="none"/>
        </w:rPr>
        <w:t>1.9</w:t>
        <w:tab/>
      </w:r>
      <w:r>
        <w:rPr>
          <w:rFonts w:ascii="Calibri" w:hAnsi="Calibri" w:cs="Calibri"/>
          <w:b w:val="0"/>
          <w:i w:val="0"/>
          <w:color w:val="000000"/>
          <w:sz w:val="22"/>
          <w:u w:val="none"/>
        </w:rPr>
        <w:t>Inspection Room – Primary location where the inspection takes place. The Inspector, Host and Scribe are typically assigned to this room.</w:t>
      </w:r>
    </w:p>
    <w:p>
      <w:pPr>
        <w:tabs>
          <w:tab w:pos="1296" w:val="left"/>
        </w:tabs>
        <w:spacing w:after="80"/>
        <w:ind w:left="1296" w:hanging="576"/>
      </w:pPr>
      <w:r>
        <w:rPr>
          <w:rFonts w:ascii="Calibri" w:hAnsi="Calibri" w:cs="Calibri"/>
          <w:b w:val="0"/>
          <w:i w:val="0"/>
          <w:color w:val="000000"/>
          <w:sz w:val="22"/>
          <w:u w:val="none"/>
        </w:rPr>
        <w:t>1.10</w:t>
        <w:tab/>
      </w:r>
      <w:r>
        <w:rPr>
          <w:rFonts w:ascii="Calibri" w:hAnsi="Calibri" w:cs="Calibri"/>
          <w:b w:val="0"/>
          <w:i w:val="0"/>
          <w:color w:val="000000"/>
          <w:sz w:val="22"/>
          <w:u w:val="none"/>
        </w:rPr>
        <w:t>Inspection Team – Personnel who are assigned to support the inspection process.</w:t>
      </w:r>
    </w:p>
    <w:p>
      <w:pPr>
        <w:tabs>
          <w:tab w:pos="1296" w:val="left"/>
        </w:tabs>
        <w:spacing w:after="80"/>
        <w:ind w:left="1296" w:hanging="576"/>
      </w:pPr>
      <w:r>
        <w:rPr>
          <w:rFonts w:ascii="Calibri" w:hAnsi="Calibri" w:cs="Calibri"/>
          <w:b w:val="0"/>
          <w:i w:val="0"/>
          <w:color w:val="000000"/>
          <w:sz w:val="22"/>
          <w:u w:val="none"/>
        </w:rPr>
        <w:t>1.11</w:t>
        <w:tab/>
      </w:r>
      <w:r>
        <w:rPr>
          <w:rFonts w:ascii="Calibri" w:hAnsi="Calibri" w:cs="Calibri"/>
          <w:b w:val="0"/>
          <w:i w:val="0"/>
          <w:color w:val="000000"/>
          <w:sz w:val="22"/>
          <w:u w:val="none"/>
        </w:rPr>
        <w:t>Inspector—A government official from a Regulatory Authority assigned to conduct inspections of drug establishments. If more than one Inspectors, the Lead Inspector has primary responsibility during the conduct of the inspection. For the FDA, an Inspector is synonymous with an Investigator.</w:t>
      </w:r>
    </w:p>
    <w:p>
      <w:pPr>
        <w:tabs>
          <w:tab w:pos="1296" w:val="left"/>
        </w:tabs>
        <w:spacing w:after="80"/>
        <w:ind w:left="1296" w:hanging="576"/>
      </w:pPr>
      <w:r>
        <w:rPr>
          <w:rFonts w:ascii="Calibri" w:hAnsi="Calibri" w:cs="Calibri"/>
          <w:b w:val="0"/>
          <w:i w:val="0"/>
          <w:color w:val="000000"/>
          <w:sz w:val="22"/>
          <w:u w:val="none"/>
        </w:rPr>
        <w:t>1.12</w:t>
        <w:tab/>
      </w:r>
      <w:r>
        <w:rPr>
          <w:rFonts w:ascii="Calibri" w:hAnsi="Calibri" w:cs="Calibri"/>
          <w:b w:val="0"/>
          <w:i w:val="0"/>
          <w:color w:val="000000"/>
          <w:sz w:val="22"/>
          <w:u w:val="none"/>
        </w:rPr>
        <w:t>Inspection Contact List – A list of Netramind key personnel and subject matter experts who are delegated the responsibility to support an inspection. This list is maintained by Quality Assurance and is used to notify when the company becomes aware of an inspection.</w:t>
      </w:r>
    </w:p>
    <w:p>
      <w:pPr>
        <w:tabs>
          <w:tab w:pos="1296" w:val="left"/>
        </w:tabs>
        <w:spacing w:after="80"/>
        <w:ind w:left="1296" w:hanging="576"/>
      </w:pPr>
      <w:r>
        <w:rPr>
          <w:rFonts w:ascii="Calibri" w:hAnsi="Calibri" w:cs="Calibri"/>
          <w:b w:val="0"/>
          <w:i w:val="0"/>
          <w:color w:val="000000"/>
          <w:sz w:val="22"/>
          <w:u w:val="none"/>
        </w:rPr>
        <w:t>1.13</w:t>
        <w:tab/>
      </w:r>
      <w:r>
        <w:rPr>
          <w:rFonts w:ascii="Calibri" w:hAnsi="Calibri" w:cs="Calibri"/>
          <w:b w:val="0"/>
          <w:i w:val="0"/>
          <w:color w:val="000000"/>
          <w:sz w:val="22"/>
          <w:u w:val="none"/>
        </w:rPr>
        <w:t>Scribe—A representative who is assigned the responsibility to record the inspection event.</w:t>
      </w:r>
    </w:p>
    <w:p>
      <w:pPr>
        <w:tabs>
          <w:tab w:pos="1296" w:val="left"/>
        </w:tabs>
        <w:spacing w:after="80"/>
        <w:ind w:left="1296" w:hanging="576"/>
      </w:pPr>
      <w:r>
        <w:rPr>
          <w:rFonts w:ascii="Calibri" w:hAnsi="Calibri" w:cs="Calibri"/>
          <w:b w:val="0"/>
          <w:i w:val="0"/>
          <w:color w:val="000000"/>
          <w:sz w:val="22"/>
          <w:u w:val="none"/>
        </w:rPr>
        <w:t>1.14</w:t>
        <w:tab/>
      </w:r>
      <w:r>
        <w:rPr>
          <w:rFonts w:ascii="Calibri" w:hAnsi="Calibri" w:cs="Calibri"/>
          <w:b w:val="0"/>
          <w:i w:val="0"/>
          <w:color w:val="000000"/>
          <w:sz w:val="22"/>
          <w:u w:val="none"/>
        </w:rPr>
        <w:t>Staging Room – A location used for preparing and staging of documents requested during an inspection; staged documents are reviewed prior to providing to the Inspector.</w:t>
      </w:r>
    </w:p>
    <w:p>
      <w:pPr>
        <w:tabs>
          <w:tab w:pos="1296" w:val="left"/>
        </w:tabs>
        <w:spacing w:after="80"/>
        <w:ind w:left="1296" w:hanging="576"/>
      </w:pPr>
      <w:r>
        <w:rPr>
          <w:rFonts w:ascii="Calibri" w:hAnsi="Calibri" w:cs="Calibri"/>
          <w:b w:val="0"/>
          <w:i w:val="0"/>
          <w:color w:val="000000"/>
          <w:sz w:val="22"/>
          <w:u w:val="none"/>
        </w:rPr>
        <w:t>1.15</w:t>
        <w:tab/>
      </w:r>
      <w:r>
        <w:rPr>
          <w:rFonts w:ascii="Calibri" w:hAnsi="Calibri" w:cs="Calibri"/>
          <w:b w:val="0"/>
          <w:i w:val="0"/>
          <w:color w:val="000000"/>
          <w:sz w:val="22"/>
          <w:u w:val="none"/>
        </w:rPr>
        <w:t>Subject Matter Expert – individuals with highest level of expertise/competency in skills or performing specialized tasks who can provide specific detailed knowledge or expertise. RESPONSIBILITIES</w:t>
      </w:r>
    </w:p>
    <w:p>
      <w:pPr>
        <w:tabs>
          <w:tab w:pos="1296" w:val="left"/>
        </w:tabs>
        <w:spacing w:after="80"/>
        <w:ind w:left="1296" w:hanging="576"/>
      </w:pPr>
      <w:r>
        <w:rPr>
          <w:rFonts w:ascii="Calibri" w:hAnsi="Calibri" w:cs="Calibri"/>
          <w:b w:val="0"/>
          <w:i w:val="0"/>
          <w:color w:val="000000"/>
          <w:sz w:val="22"/>
          <w:u w:val="none"/>
        </w:rPr>
        <w:t>1.16</w:t>
        <w:tab/>
      </w:r>
      <w:r>
        <w:rPr>
          <w:rFonts w:ascii="Calibri" w:hAnsi="Calibri" w:cs="Calibri"/>
          <w:b w:val="0"/>
          <w:i w:val="0"/>
          <w:color w:val="000000"/>
          <w:sz w:val="22"/>
          <w:u w:val="none"/>
        </w:rPr>
        <w:t>Quality Assurance (QA) or Designee 1.16.1Coordinates inspection readiness and inspection support activities. 1.16.2Supports document review, response coordination, and follow-up actions associated with inspections or audits. 1.16.3Maintains inspection-related documentation and records where applicable.</w:t>
      </w:r>
    </w:p>
    <w:p>
      <w:pPr>
        <w:tabs>
          <w:tab w:pos="1296" w:val="left"/>
        </w:tabs>
        <w:spacing w:after="80"/>
        <w:ind w:left="1296" w:hanging="576"/>
      </w:pPr>
      <w:r>
        <w:rPr>
          <w:rFonts w:ascii="Calibri" w:hAnsi="Calibri" w:cs="Calibri"/>
          <w:b w:val="0"/>
          <w:i w:val="0"/>
          <w:color w:val="000000"/>
          <w:sz w:val="22"/>
          <w:u w:val="none"/>
        </w:rPr>
        <w:t>1.17</w:t>
        <w:tab/>
      </w:r>
      <w:r>
        <w:rPr>
          <w:rFonts w:ascii="Calibri" w:hAnsi="Calibri" w:cs="Calibri"/>
          <w:b w:val="0"/>
          <w:i w:val="0"/>
          <w:color w:val="000000"/>
          <w:sz w:val="22"/>
          <w:u w:val="none"/>
        </w:rPr>
        <w:t>Management / Functional Area Leads 1.17.1Support inspection preparation activities. 1.17.2Provide appropriate personnel, records, or documentation during inspections or audits. 1.17.3Assist with review and response activities related to inspection findings where applicable.</w:t>
      </w:r>
    </w:p>
    <w:p>
      <w:pPr>
        <w:tabs>
          <w:tab w:pos="1296" w:val="left"/>
        </w:tabs>
        <w:spacing w:after="80"/>
        <w:ind w:left="1296" w:hanging="576"/>
      </w:pPr>
      <w:r>
        <w:rPr>
          <w:rFonts w:ascii="Calibri" w:hAnsi="Calibri" w:cs="Calibri"/>
          <w:b w:val="0"/>
          <w:i w:val="0"/>
          <w:color w:val="000000"/>
          <w:sz w:val="22"/>
          <w:u w:val="none"/>
        </w:rPr>
        <w:t>1.18</w:t>
        <w:tab/>
      </w:r>
      <w:r>
        <w:rPr>
          <w:rFonts w:ascii="Calibri" w:hAnsi="Calibri" w:cs="Calibri"/>
          <w:b w:val="0"/>
          <w:i w:val="0"/>
          <w:color w:val="000000"/>
          <w:sz w:val="22"/>
          <w:u w:val="none"/>
        </w:rPr>
        <w:t>Subject Matter Experts (SMEs) 1.18.1Provide factual responses and documentation related to their areas of responsibility</w:t>
      </w:r>
    </w:p>
    <w:p>
      <w:pPr>
        <w:tabs>
          <w:tab w:pos="1296" w:val="left"/>
        </w:tabs>
        <w:spacing w:after="80"/>
        <w:ind w:left="1296" w:hanging="576"/>
      </w:pPr>
      <w:r>
        <w:rPr>
          <w:rFonts w:ascii="Calibri" w:hAnsi="Calibri" w:cs="Calibri"/>
          <w:b w:val="0"/>
          <w:i w:val="0"/>
          <w:color w:val="000000"/>
          <w:sz w:val="22"/>
          <w:u w:val="none"/>
        </w:rPr>
        <w:t>1.19</w:t>
        <w:tab/>
      </w:r>
      <w:r>
        <w:rPr>
          <w:rFonts w:ascii="Calibri" w:hAnsi="Calibri" w:cs="Calibri"/>
          <w:b w:val="0"/>
          <w:i w:val="0"/>
          <w:color w:val="000000"/>
          <w:sz w:val="22"/>
          <w:u w:val="none"/>
        </w:rPr>
        <w:t>Inspection Host or Designee 1.19.1Serves as the primary point of contact during inspections or audits. 1.19.2Coordinates inspection-related logistics, communications, and support activities. PROCEDURE</w:t>
      </w:r>
    </w:p>
    <w:p>
      <w:pPr>
        <w:tabs>
          <w:tab w:pos="1296" w:val="left"/>
        </w:tabs>
        <w:spacing w:after="80"/>
        <w:ind w:left="1296" w:hanging="576"/>
      </w:pPr>
      <w:r>
        <w:rPr>
          <w:rFonts w:ascii="Calibri" w:hAnsi="Calibri" w:cs="Calibri"/>
          <w:b w:val="0"/>
          <w:i w:val="0"/>
          <w:color w:val="000000"/>
          <w:sz w:val="22"/>
          <w:u w:val="none"/>
        </w:rPr>
        <w:t>1.20</w:t>
        <w:tab/>
      </w:r>
      <w:r>
        <w:rPr>
          <w:rFonts w:ascii="Calibri" w:hAnsi="Calibri" w:cs="Calibri"/>
          <w:b w:val="0"/>
          <w:i w:val="0"/>
          <w:color w:val="000000"/>
          <w:sz w:val="22"/>
          <w:u w:val="none"/>
        </w:rPr>
        <w:t>Inspection Preparation / Inspection Readiness 1.20.1Netramind maintains inspection readiness activities appropriate to its size, operations, and GxP-regulated activities. 1.20.2Inspection readiness activities may include: 1.20.2.1identification of key personnel and SMEs 1.20.2.2organization of relevant records and documentation 1.20.2.3review of prior inspection, audit, deviation, CAPA, or compliance findings 1.20.2.4coordination of systems, records, or documentation that may be requested during inspections or audits 1.20.2.5communication and preparation activities associated with upcoming inspections or audits where applicable.</w:t>
      </w:r>
    </w:p>
    <w:p>
      <w:pPr>
        <w:tabs>
          <w:tab w:pos="1296" w:val="left"/>
        </w:tabs>
        <w:spacing w:after="80"/>
        <w:ind w:left="1296" w:hanging="576"/>
      </w:pPr>
      <w:r>
        <w:rPr>
          <w:rFonts w:ascii="Calibri" w:hAnsi="Calibri" w:cs="Calibri"/>
          <w:b w:val="0"/>
          <w:i w:val="0"/>
          <w:color w:val="000000"/>
          <w:sz w:val="22"/>
          <w:u w:val="none"/>
        </w:rPr>
        <w:t>1.21</w:t>
        <w:tab/>
      </w:r>
      <w:r>
        <w:rPr>
          <w:rFonts w:ascii="Calibri" w:hAnsi="Calibri" w:cs="Calibri"/>
          <w:b w:val="0"/>
          <w:i w:val="0"/>
          <w:color w:val="000000"/>
          <w:sz w:val="22"/>
          <w:u w:val="none"/>
        </w:rPr>
        <w:t>Notification of Sponsor Inspection 1.21.1Upon notification of an inspection or audit, appropriate personnel are informed and preparations are coordinated based on the scope and nature of the inspection or audit. 1.21.2Inspections or audits may be announced or unannounced depending on the applicable regulatory authority or sponsor requirements.</w:t>
      </w:r>
    </w:p>
    <w:p>
      <w:pPr>
        <w:tabs>
          <w:tab w:pos="1296" w:val="left"/>
        </w:tabs>
        <w:spacing w:after="80"/>
        <w:ind w:left="1296" w:hanging="576"/>
      </w:pPr>
      <w:r>
        <w:rPr>
          <w:rFonts w:ascii="Calibri" w:hAnsi="Calibri" w:cs="Calibri"/>
          <w:b w:val="0"/>
          <w:i w:val="0"/>
          <w:color w:val="000000"/>
          <w:sz w:val="22"/>
          <w:u w:val="none"/>
        </w:rPr>
        <w:t>1.22</w:t>
        <w:tab/>
      </w:r>
      <w:r>
        <w:rPr>
          <w:rFonts w:ascii="Calibri" w:hAnsi="Calibri" w:cs="Calibri"/>
          <w:b w:val="0"/>
          <w:i w:val="0"/>
          <w:color w:val="000000"/>
          <w:sz w:val="22"/>
          <w:u w:val="none"/>
        </w:rPr>
        <w:t>Arrival of Inspectors 1.22.1Inspectors or auditors may be provided access to facilities, records, systems, personnel, or documentation as appropriate and authorized during the inspection or audit process. 1.22.2Appropriate personnel coordinate inspection support activities and ensure that requests are managed in a controlled manner.</w:t>
      </w:r>
    </w:p>
    <w:p>
      <w:pPr>
        <w:tabs>
          <w:tab w:pos="1296" w:val="left"/>
        </w:tabs>
        <w:spacing w:after="80"/>
        <w:ind w:left="1296" w:hanging="576"/>
      </w:pPr>
      <w:r>
        <w:rPr>
          <w:rFonts w:ascii="Calibri" w:hAnsi="Calibri" w:cs="Calibri"/>
          <w:b w:val="0"/>
          <w:i w:val="0"/>
          <w:color w:val="000000"/>
          <w:sz w:val="22"/>
          <w:u w:val="none"/>
        </w:rPr>
        <w:t>1.23</w:t>
        <w:tab/>
      </w:r>
      <w:r>
        <w:rPr>
          <w:rFonts w:ascii="Calibri" w:hAnsi="Calibri" w:cs="Calibri"/>
          <w:b w:val="0"/>
          <w:i w:val="0"/>
          <w:color w:val="000000"/>
          <w:sz w:val="22"/>
          <w:u w:val="none"/>
        </w:rPr>
        <w:t>Inspection Room Procedures 1.23.1Inspection or audit activities may include opening discussions, interviews, document review, system demonstrations, review of procedures or records, and discussion of observations or findings where applicable. 1.23.2Appropriate personnel support inspection or audit activities and coordinate requested records, documentation, systems access, and personnel availability as needed.</w:t>
      </w:r>
    </w:p>
    <w:p>
      <w:pPr>
        <w:tabs>
          <w:tab w:pos="1296" w:val="left"/>
        </w:tabs>
        <w:spacing w:after="80"/>
        <w:ind w:left="1296" w:hanging="576"/>
      </w:pPr>
      <w:r>
        <w:rPr>
          <w:rFonts w:ascii="Calibri" w:hAnsi="Calibri" w:cs="Calibri"/>
          <w:b w:val="0"/>
          <w:i w:val="0"/>
          <w:color w:val="000000"/>
          <w:sz w:val="22"/>
          <w:u w:val="none"/>
        </w:rPr>
        <w:t>1.24</w:t>
        <w:tab/>
      </w:r>
      <w:r>
        <w:rPr>
          <w:rFonts w:ascii="Calibri" w:hAnsi="Calibri" w:cs="Calibri"/>
          <w:b w:val="0"/>
          <w:i w:val="0"/>
          <w:color w:val="000000"/>
          <w:sz w:val="22"/>
          <w:u w:val="none"/>
        </w:rPr>
        <w:t>Inspection Support Setup 1.24.1Appropriate personnel coordinate logistics, document access, system access, communication activities, and operational support needed during inspections or audits.</w:t>
      </w:r>
    </w:p>
    <w:p>
      <w:pPr>
        <w:tabs>
          <w:tab w:pos="1296" w:val="left"/>
        </w:tabs>
        <w:spacing w:after="80"/>
        <w:ind w:left="1296" w:hanging="576"/>
      </w:pPr>
      <w:r>
        <w:rPr>
          <w:rFonts w:ascii="Calibri" w:hAnsi="Calibri" w:cs="Calibri"/>
          <w:b w:val="0"/>
          <w:i w:val="0"/>
          <w:color w:val="000000"/>
          <w:sz w:val="22"/>
          <w:u w:val="none"/>
        </w:rPr>
        <w:t>1.25</w:t>
        <w:tab/>
      </w:r>
      <w:r>
        <w:rPr>
          <w:rFonts w:ascii="Calibri" w:hAnsi="Calibri" w:cs="Calibri"/>
          <w:b w:val="0"/>
          <w:i w:val="0"/>
          <w:color w:val="000000"/>
          <w:sz w:val="22"/>
          <w:u w:val="none"/>
        </w:rPr>
        <w:t>Inspection Requests 1.25.1Inspection or audit requests for records, documentation, personnel, or system access are coordinated through appropriate personnel. 1.25.2Requested documentation and records are reviewed prior to release where appropriate. 1.25.3Access to systems or records is managed and supervised appropriately during inspection or audit activities. 1.25.4Requests involving confidential, proprietary, financial, personnel, or legally sensitive information may be reviewed with management or legal counsel where appropriate. 1.25.5Relevant inspection requests, observations, and follow-up activities may be documented where appropriate.</w:t>
      </w:r>
    </w:p>
    <w:p>
      <w:pPr>
        <w:tabs>
          <w:tab w:pos="1296" w:val="left"/>
        </w:tabs>
        <w:spacing w:after="80"/>
        <w:ind w:left="1296" w:hanging="576"/>
      </w:pPr>
      <w:r>
        <w:rPr>
          <w:rFonts w:ascii="Calibri" w:hAnsi="Calibri" w:cs="Calibri"/>
          <w:b w:val="0"/>
          <w:i w:val="0"/>
          <w:color w:val="000000"/>
          <w:sz w:val="22"/>
          <w:u w:val="none"/>
        </w:rPr>
        <w:t>1.26</w:t>
        <w:tab/>
      </w:r>
      <w:r>
        <w:rPr>
          <w:rFonts w:ascii="Calibri" w:hAnsi="Calibri" w:cs="Calibri"/>
          <w:b w:val="0"/>
          <w:i w:val="0"/>
          <w:color w:val="000000"/>
          <w:sz w:val="22"/>
          <w:u w:val="none"/>
        </w:rPr>
        <w:t>Inspection restrictions include but are not limited to the following: 1.26.1Photographic, video, or audio recording equipment are not allowed during the Inspection. Any exception to this policy must be pre-approved by the CEO and/or Legal Counsel. 1.26.2Inspectors are not allowed to have access to Netramind computers. 1.26.3Inspectors are not allowed to have access to the following Netramind information: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Internal and external audit reports and associated corrective action reports; only audit schedules and/or logs may be provided. Any exception to this policy must be pre-approved by the GxP department owner.</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Financial data</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Personnel records 1.26.4Netramind employees or contractors are not permitted to sign affidavits or other documents prepared by the Investigators. Any exception to this policy must be pre- approved by the CEO and/or Legal Counsel. 1.26.5Netramind employees are not allowed to offer items of value to an Inspector.</w:t>
      </w:r>
    </w:p>
    <w:p>
      <w:pPr>
        <w:tabs>
          <w:tab w:pos="1296" w:val="left"/>
        </w:tabs>
        <w:spacing w:after="80"/>
        <w:ind w:left="1296" w:hanging="576"/>
      </w:pPr>
      <w:r>
        <w:rPr>
          <w:rFonts w:ascii="Calibri" w:hAnsi="Calibri" w:cs="Calibri"/>
          <w:b w:val="0"/>
          <w:i w:val="0"/>
          <w:color w:val="000000"/>
          <w:sz w:val="22"/>
          <w:u w:val="none"/>
        </w:rPr>
        <w:t>1.27</w:t>
        <w:tab/>
      </w:r>
      <w:r>
        <w:rPr>
          <w:rFonts w:ascii="Calibri" w:hAnsi="Calibri" w:cs="Calibri"/>
          <w:b w:val="0"/>
          <w:i w:val="0"/>
          <w:color w:val="000000"/>
          <w:sz w:val="22"/>
          <w:u w:val="none"/>
        </w:rPr>
        <w:t>Documenting the Inspection 1.27.1Relevant inspection or audit activities, requests, observations, responses, and follow-up actions may be documented during and after inspection activities where appropriate.</w:t>
      </w:r>
    </w:p>
    <w:p>
      <w:pPr>
        <w:tabs>
          <w:tab w:pos="1296" w:val="left"/>
        </w:tabs>
        <w:spacing w:after="80"/>
        <w:ind w:left="1296" w:hanging="576"/>
      </w:pPr>
      <w:r>
        <w:rPr>
          <w:rFonts w:ascii="Calibri" w:hAnsi="Calibri" w:cs="Calibri"/>
          <w:b w:val="0"/>
          <w:i w:val="0"/>
          <w:color w:val="000000"/>
          <w:sz w:val="22"/>
          <w:u w:val="none"/>
        </w:rPr>
        <w:t>1.28</w:t>
        <w:tab/>
      </w:r>
      <w:r>
        <w:rPr>
          <w:rFonts w:ascii="Calibri" w:hAnsi="Calibri" w:cs="Calibri"/>
          <w:b w:val="0"/>
          <w:i w:val="0"/>
          <w:color w:val="000000"/>
          <w:sz w:val="22"/>
          <w:u w:val="none"/>
        </w:rPr>
        <w:t>Daily Inspection Debriefing 1.28.1Appropriate personnel may review inspection progress, open requests, observations, or follow-up actions during ongoing inspections or audits where applicable.</w:t>
      </w:r>
    </w:p>
    <w:p>
      <w:pPr>
        <w:tabs>
          <w:tab w:pos="1296" w:val="left"/>
        </w:tabs>
        <w:spacing w:after="80"/>
        <w:ind w:left="1296" w:hanging="576"/>
      </w:pPr>
      <w:r>
        <w:rPr>
          <w:rFonts w:ascii="Calibri" w:hAnsi="Calibri" w:cs="Calibri"/>
          <w:b w:val="0"/>
          <w:i w:val="0"/>
          <w:color w:val="000000"/>
          <w:sz w:val="22"/>
          <w:u w:val="none"/>
        </w:rPr>
        <w:t>1.29</w:t>
        <w:tab/>
      </w:r>
      <w:r>
        <w:rPr>
          <w:rFonts w:ascii="Calibri" w:hAnsi="Calibri" w:cs="Calibri"/>
          <w:b w:val="0"/>
          <w:i w:val="0"/>
          <w:color w:val="000000"/>
          <w:sz w:val="22"/>
          <w:u w:val="none"/>
        </w:rPr>
        <w:t>Inspection Close Out 1.29.1At the conclusion of an inspection or audit, appropriate personnel review observations, findings, requests, or feedback provided by the inspector or auditor. 1.29.2Clarifications, supporting documentation, corrective actions, or follow-up activities may be coordinated where appropriate.</w:t>
      </w:r>
    </w:p>
    <w:p>
      <w:pPr>
        <w:tabs>
          <w:tab w:pos="1296" w:val="left"/>
        </w:tabs>
        <w:spacing w:after="80"/>
        <w:ind w:left="1296" w:hanging="576"/>
      </w:pPr>
      <w:r>
        <w:rPr>
          <w:rFonts w:ascii="Calibri" w:hAnsi="Calibri" w:cs="Calibri"/>
          <w:b w:val="0"/>
          <w:i w:val="0"/>
          <w:color w:val="000000"/>
          <w:sz w:val="22"/>
          <w:u w:val="none"/>
        </w:rPr>
        <w:t>1.30</w:t>
        <w:tab/>
      </w:r>
      <w:r>
        <w:rPr>
          <w:rFonts w:ascii="Calibri" w:hAnsi="Calibri" w:cs="Calibri"/>
          <w:b w:val="0"/>
          <w:i w:val="0"/>
          <w:color w:val="000000"/>
          <w:sz w:val="22"/>
          <w:u w:val="none"/>
        </w:rPr>
        <w:t>Management of Inspection Observation Responses 1.30.1Responses to inspection or audit observations may include clarification, corrective actions, implementation plans, timelines, and supporting documentation where appropriate. 1.30.2Deviations, CAPAs, corrective actions, or other follow-up activities may be managed through applicable Netramind procedures where appropriate. 1.30.3Inspection-related documentation and responses are maintained in controlled repositories in accordance with applicable records retention requirements. ATTACHMENTS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TMP-027-01 Inspection Request Log • • REVISION HISTORY Version Date Summary of Change(s) Number 01 22-MAY-2026 New Document [X.0] [DD-MMM- [Insert a summary of the changes] YYYY] SIGNATURE PAGE [ADD ADDITIONAL ROWS AS NEEDED] Author: NAME TITLE SIGNATURE DATE DD-MMM- YYYY Justin Shaka Fractional COO Reviewer: NAME TITLE SIGNATURE DATE Jay Chhablani President Approver: NAME TITLE SIGNATURE DATE Sandeep Chandra Director of AI Bollepalli</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SOP-027</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22-MAY-2026</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Regulatory Agency Inspections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