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tabs>
          <w:tab w:pos="504" w:val="left"/>
        </w:tabs>
        <w:spacing w:before="160" w:after="80"/>
      </w:pPr>
      <w:r>
        <w:rPr>
          <w:rFonts w:ascii="Calibri" w:hAnsi="Calibri" w:cs="Calibri"/>
          <w:b/>
          <w:i w:val="0"/>
          <w:color w:val="000000"/>
          <w:sz w:val="22"/>
          <w:u w:val="none"/>
        </w:rPr>
        <w:t>1</w:t>
      </w:r>
      <w:r>
        <w:rPr>
          <w:rFonts w:ascii="Calibri" w:hAnsi="Calibri" w:cs="Calibri"/>
          <w:b/>
          <w:i w:val="0"/>
          <w:color w:val="000000"/>
          <w:sz w:val="22"/>
          <w:u w:val="none"/>
        </w:rPr>
        <w:tab/>
      </w:r>
      <w:r>
        <w:rPr>
          <w:rFonts w:ascii="Calibri" w:hAnsi="Calibri" w:cs="Calibri"/>
          <w:b/>
          <w:i w:val="0"/>
          <w:color w:val="000000"/>
          <w:sz w:val="22"/>
          <w:u w:val="none"/>
        </w:rPr>
        <w:t>PURPOSE</w:t>
      </w:r>
    </w:p>
    <w:p>
      <w:pPr>
        <w:spacing w:after="120"/>
        <w:ind w:left="504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This procedure describes the process for identifying, evaluating, documenting, controlling, reviewing, and monitoring risks associated with Netramind GxP-regulated activities, computerized systems, clinical research activities, operational processes, regulated data handling, and quality systems.</w:t>
      </w:r>
    </w:p>
    <w:p>
      <w:pPr>
        <w:keepNext/>
        <w:tabs>
          <w:tab w:pos="504" w:val="left"/>
        </w:tabs>
        <w:spacing w:before="160" w:after="80"/>
      </w:pPr>
      <w:r>
        <w:rPr>
          <w:rFonts w:ascii="Calibri" w:hAnsi="Calibri" w:cs="Calibri"/>
          <w:b/>
          <w:i w:val="0"/>
          <w:color w:val="000000"/>
          <w:sz w:val="22"/>
          <w:u w:val="none"/>
        </w:rPr>
        <w:t>2</w:t>
      </w:r>
      <w:r>
        <w:rPr>
          <w:rFonts w:ascii="Calibri" w:hAnsi="Calibri" w:cs="Calibri"/>
          <w:b/>
          <w:i w:val="0"/>
          <w:color w:val="000000"/>
          <w:sz w:val="22"/>
          <w:u w:val="none"/>
        </w:rPr>
        <w:tab/>
      </w:r>
      <w:r>
        <w:rPr>
          <w:rFonts w:ascii="Calibri" w:hAnsi="Calibri" w:cs="Calibri"/>
          <w:b/>
          <w:i w:val="0"/>
          <w:color w:val="000000"/>
          <w:sz w:val="22"/>
          <w:u w:val="none"/>
        </w:rPr>
        <w:t>SCOPE</w:t>
      </w:r>
    </w:p>
    <w:p>
      <w:pPr>
        <w:spacing w:after="120"/>
        <w:ind w:left="504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This procedure applies to all Netramind personnel, consultants, contractors, service providers, computerized systems, operational processes, clinical research activities, and quality processes supporting GxP-regulated activities.</w:t>
      </w:r>
    </w:p>
    <w:p>
      <w:pPr>
        <w:keepNext/>
        <w:tabs>
          <w:tab w:pos="504" w:val="left"/>
        </w:tabs>
        <w:spacing w:before="160" w:after="80"/>
      </w:pPr>
      <w:r>
        <w:rPr>
          <w:rFonts w:ascii="Calibri" w:hAnsi="Calibri" w:cs="Calibri"/>
          <w:b/>
          <w:i w:val="0"/>
          <w:color w:val="000000"/>
          <w:sz w:val="22"/>
          <w:u w:val="none"/>
        </w:rPr>
        <w:t>3</w:t>
      </w:r>
      <w:r>
        <w:rPr>
          <w:rFonts w:ascii="Calibri" w:hAnsi="Calibri" w:cs="Calibri"/>
          <w:b/>
          <w:i w:val="0"/>
          <w:color w:val="000000"/>
          <w:sz w:val="22"/>
          <w:u w:val="none"/>
        </w:rPr>
        <w:tab/>
      </w:r>
      <w:r>
        <w:rPr>
          <w:rFonts w:ascii="Calibri" w:hAnsi="Calibri" w:cs="Calibri"/>
          <w:b/>
          <w:i w:val="0"/>
          <w:color w:val="000000"/>
          <w:sz w:val="22"/>
          <w:u w:val="none"/>
        </w:rPr>
        <w:t>REFERENCES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C00000"/>
          <w:sz w:val="22"/>
          <w:u w:val="none"/>
        </w:rPr>
        <w:t>SOP-001 GxP Document Control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C00000"/>
          <w:sz w:val="22"/>
          <w:u w:val="none"/>
        </w:rPr>
        <w:t>SOP-003 Data Integrity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C00000"/>
          <w:sz w:val="22"/>
          <w:u w:val="none"/>
        </w:rPr>
        <w:t>SOP-007 Corrective and Preventive Action (CAPA)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C00000"/>
          <w:sz w:val="22"/>
          <w:u w:val="none"/>
        </w:rPr>
        <w:t>SOP-008 Incident Management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C00000"/>
          <w:sz w:val="22"/>
          <w:u w:val="none"/>
        </w:rPr>
        <w:t>SOP-013 IT Change Control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C00000"/>
          <w:sz w:val="22"/>
          <w:u w:val="none"/>
        </w:rPr>
        <w:t>SOP-014 User Acceptance Testing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C00000"/>
          <w:sz w:val="22"/>
          <w:u w:val="none"/>
        </w:rPr>
        <w:t>SOP-013 Computer System Validation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ICH E6(R3) Good Clinical Practice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21 CFR Part 11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GAMP 5</w:t>
      </w:r>
    </w:p>
    <w:p>
      <w:pPr>
        <w:keepNext/>
        <w:tabs>
          <w:tab w:pos="504" w:val="left"/>
        </w:tabs>
        <w:spacing w:before="160" w:after="80"/>
      </w:pPr>
      <w:r>
        <w:rPr>
          <w:rFonts w:ascii="Calibri" w:hAnsi="Calibri" w:cs="Calibri"/>
          <w:b/>
          <w:i w:val="0"/>
          <w:color w:val="000000"/>
          <w:sz w:val="22"/>
          <w:u w:val="none"/>
        </w:rPr>
        <w:t>4</w:t>
      </w:r>
      <w:r>
        <w:rPr>
          <w:rFonts w:ascii="Calibri" w:hAnsi="Calibri" w:cs="Calibri"/>
          <w:b/>
          <w:i w:val="0"/>
          <w:color w:val="000000"/>
          <w:sz w:val="22"/>
          <w:u w:val="none"/>
        </w:rPr>
        <w:tab/>
      </w:r>
      <w:r>
        <w:rPr>
          <w:rFonts w:ascii="Calibri" w:hAnsi="Calibri" w:cs="Calibri"/>
          <w:b/>
          <w:i w:val="0"/>
          <w:color w:val="000000"/>
          <w:sz w:val="22"/>
          <w:u w:val="none"/>
        </w:rPr>
        <w:t>DEFINITIONS</w:t>
      </w:r>
    </w:p>
    <w:p>
      <w:pPr>
        <w:tabs>
          <w:tab w:pos="1296" w:val="left"/>
        </w:tabs>
        <w:spacing w:after="8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4.1</w:t>
        <w:tab/>
      </w:r>
      <w:r>
        <w:rPr>
          <w:rFonts w:ascii="Calibri" w:hAnsi="Calibri" w:cs="Calibri"/>
          <w:b w:val="0"/>
          <w:i w:val="0"/>
          <w:color w:val="000000"/>
          <w:sz w:val="22"/>
          <w:u w:val="single"/>
        </w:rPr>
        <w:t>Risk</w:t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 xml:space="preserve"> — </w:t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Combination of the probability and severity of harm.</w:t>
      </w:r>
    </w:p>
    <w:p>
      <w:pPr>
        <w:tabs>
          <w:tab w:pos="1296" w:val="left"/>
        </w:tabs>
        <w:spacing w:after="8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4.2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Risk Acceptance– Documented decision that residual risk is acceptable based on operational, quality, regulatory, subject safety, data integrity, or business considerations.</w:t>
      </w:r>
    </w:p>
    <w:p>
      <w:pPr>
        <w:tabs>
          <w:tab w:pos="1296" w:val="left"/>
        </w:tabs>
        <w:spacing w:after="8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4.3</w:t>
        <w:tab/>
      </w:r>
      <w:r>
        <w:rPr>
          <w:rFonts w:ascii="Calibri" w:hAnsi="Calibri" w:cs="Calibri"/>
          <w:b w:val="0"/>
          <w:i w:val="0"/>
          <w:color w:val="000000"/>
          <w:sz w:val="22"/>
          <w:u w:val="single"/>
        </w:rPr>
        <w:t>Risk Assessment</w:t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 xml:space="preserve"> — </w:t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Process of identifying and evaluating risk.</w:t>
      </w:r>
    </w:p>
    <w:p>
      <w:pPr>
        <w:tabs>
          <w:tab w:pos="1296" w:val="left"/>
        </w:tabs>
        <w:spacing w:after="8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4.4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Risk Control– Actions implemented to reduce, mitigate, avoid, transfer, or accept risk.</w:t>
      </w:r>
    </w:p>
    <w:p>
      <w:pPr>
        <w:tabs>
          <w:tab w:pos="1296" w:val="left"/>
        </w:tabs>
        <w:spacing w:after="8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4.5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Risk Mitigation– Actions implemented to reduce the likelihood, severity, detectability, or operational impact of identified risks.</w:t>
      </w:r>
    </w:p>
    <w:p>
      <w:pPr>
        <w:tabs>
          <w:tab w:pos="1296" w:val="left"/>
        </w:tabs>
        <w:spacing w:after="8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4.6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Risk Owner– Individual or functional area responsible for oversight, monitoring, mitigation, and management of a specific risk or associated risk control activities.</w:t>
      </w:r>
    </w:p>
    <w:p>
      <w:pPr>
        <w:tabs>
          <w:tab w:pos="1296" w:val="left"/>
        </w:tabs>
        <w:spacing w:after="8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4.7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Residual Risk– Remaining risk after controls are implemented</w:t>
      </w:r>
    </w:p>
    <w:p>
      <w:pPr>
        <w:keepNext/>
        <w:tabs>
          <w:tab w:pos="504" w:val="left"/>
        </w:tabs>
        <w:spacing w:before="160" w:after="80"/>
      </w:pPr>
      <w:r>
        <w:rPr>
          <w:rFonts w:ascii="Calibri" w:hAnsi="Calibri" w:cs="Calibri"/>
          <w:b/>
          <w:i w:val="0"/>
          <w:color w:val="000000"/>
          <w:sz w:val="22"/>
          <w:u w:val="none"/>
        </w:rPr>
        <w:t>5</w:t>
      </w:r>
      <w:r>
        <w:rPr>
          <w:rFonts w:ascii="Calibri" w:hAnsi="Calibri" w:cs="Calibri"/>
          <w:b/>
          <w:i w:val="0"/>
          <w:color w:val="000000"/>
          <w:sz w:val="22"/>
          <w:u w:val="none"/>
        </w:rPr>
        <w:tab/>
      </w:r>
      <w:r>
        <w:rPr>
          <w:rFonts w:ascii="Calibri" w:hAnsi="Calibri" w:cs="Calibri"/>
          <w:b/>
          <w:i w:val="0"/>
          <w:color w:val="000000"/>
          <w:sz w:val="22"/>
          <w:u w:val="none"/>
        </w:rPr>
        <w:t>RESPONSIBILITIES</w:t>
      </w:r>
    </w:p>
    <w:p>
      <w:pPr>
        <w:tabs>
          <w:tab w:pos="1296" w:val="left"/>
        </w:tabs>
        <w:spacing w:after="8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5.1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All Personnel</w:t>
      </w:r>
    </w:p>
    <w:p>
      <w:pPr>
        <w:tabs>
          <w:tab w:pos="1872" w:val="left"/>
        </w:tabs>
        <w:spacing w:after="80"/>
        <w:ind w:left="1872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5.1.1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Identify and communicate potential risks, hazards, quality concerns, data integrity concerns, cybersecurity concerns, protocol noncompliance, or operational issues where applicable.</w:t>
      </w:r>
    </w:p>
    <w:p>
      <w:pPr>
        <w:tabs>
          <w:tab w:pos="1872" w:val="left"/>
        </w:tabs>
        <w:spacing w:after="80"/>
        <w:ind w:left="1872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5.1.2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Participate in risk assessment or mitigation activities as requested.</w:t>
      </w:r>
    </w:p>
    <w:p>
      <w:pPr>
        <w:tabs>
          <w:tab w:pos="1296" w:val="left"/>
        </w:tabs>
        <w:spacing w:after="8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5.2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Management / Functional Area Leads</w:t>
      </w:r>
    </w:p>
    <w:p>
      <w:pPr>
        <w:tabs>
          <w:tab w:pos="1872" w:val="left"/>
        </w:tabs>
        <w:spacing w:after="80"/>
        <w:ind w:left="1872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5.2.1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Support identification, evaluation, mitigation, monitoring, and escalation of risks associated with their functional areas.</w:t>
      </w:r>
    </w:p>
    <w:p>
      <w:pPr>
        <w:tabs>
          <w:tab w:pos="1872" w:val="left"/>
        </w:tabs>
        <w:spacing w:after="80"/>
        <w:ind w:left="1872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5.2.2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Ensure appropriate risk controls or corrective actions are implemented where applicable.</w:t>
      </w:r>
    </w:p>
    <w:p>
      <w:pPr>
        <w:tabs>
          <w:tab w:pos="1872" w:val="left"/>
        </w:tabs>
        <w:spacing w:after="80"/>
        <w:ind w:left="1872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5.2.3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Escalate significant risks involving subject safety, data integrity, cybersecurity, regulatory compliance, or operational continuity where appropriate.</w:t>
      </w:r>
    </w:p>
    <w:p>
      <w:pPr>
        <w:tabs>
          <w:tab w:pos="1296" w:val="left"/>
        </w:tabs>
        <w:spacing w:after="8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5.3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Quality Assurance (QA) / Designee</w:t>
      </w:r>
    </w:p>
    <w:p>
      <w:pPr>
        <w:tabs>
          <w:tab w:pos="1872" w:val="left"/>
        </w:tabs>
        <w:spacing w:after="80"/>
        <w:ind w:left="1872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5.3.1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Supports oversight of risk management activities associated with GxP-regulated operations and quality systems.</w:t>
      </w:r>
    </w:p>
    <w:p>
      <w:pPr>
        <w:tabs>
          <w:tab w:pos="1872" w:val="left"/>
        </w:tabs>
        <w:spacing w:after="80"/>
        <w:ind w:left="1872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5.3.2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Reviews risk assessments where appropriate.</w:t>
      </w:r>
    </w:p>
    <w:p>
      <w:pPr>
        <w:tabs>
          <w:tab w:pos="1872" w:val="left"/>
        </w:tabs>
        <w:spacing w:after="80"/>
        <w:ind w:left="1872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5.3.3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Coordinates risk-related CAPA, deviation, incident, or corrective action activities where applicable.</w:t>
      </w:r>
    </w:p>
    <w:p>
      <w:pPr>
        <w:tabs>
          <w:tab w:pos="1872" w:val="left"/>
        </w:tabs>
        <w:spacing w:after="80"/>
        <w:ind w:left="1872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5.3.4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Maintains risk management documentation where appropriate.</w:t>
      </w:r>
    </w:p>
    <w:p>
      <w:pPr>
        <w:tabs>
          <w:tab w:pos="1296" w:val="left"/>
        </w:tabs>
        <w:spacing w:after="8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5.4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Subject Matter Experts (SMEs) / Designees</w:t>
      </w:r>
    </w:p>
    <w:p>
      <w:pPr>
        <w:tabs>
          <w:tab w:pos="1872" w:val="left"/>
        </w:tabs>
        <w:spacing w:after="80"/>
        <w:ind w:left="1872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5.4.1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Assist with technical, operational, clinical, software, artificial intelligence/machine learning (AI/ML), cybersecurity, or quality-related risk assessments where appropriate.</w:t>
      </w:r>
    </w:p>
    <w:p>
      <w:pPr>
        <w:tabs>
          <w:tab w:pos="1296" w:val="left"/>
        </w:tabs>
        <w:spacing w:after="8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5.5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Risk Owners</w:t>
      </w:r>
    </w:p>
    <w:p>
      <w:pPr>
        <w:tabs>
          <w:tab w:pos="1872" w:val="left"/>
        </w:tabs>
        <w:spacing w:after="80"/>
        <w:ind w:left="1872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5.5.1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Monitor risks associated with systems, studies, vendors, operational activities, or processes under their responsibility.</w:t>
      </w:r>
    </w:p>
    <w:p>
      <w:pPr>
        <w:tabs>
          <w:tab w:pos="1872" w:val="left"/>
        </w:tabs>
        <w:spacing w:after="80"/>
        <w:ind w:left="1872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5.5.2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Review effectiveness of implemented risk controls where applicable.</w:t>
      </w:r>
    </w:p>
    <w:p>
      <w:pPr>
        <w:tabs>
          <w:tab w:pos="1872" w:val="left"/>
        </w:tabs>
        <w:spacing w:after="80"/>
        <w:ind w:left="1872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5.5.3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Communicate emerging or changing risks where appropriate.</w:t>
      </w:r>
    </w:p>
    <w:p>
      <w:pPr>
        <w:keepNext/>
        <w:tabs>
          <w:tab w:pos="504" w:val="left"/>
        </w:tabs>
        <w:spacing w:before="160" w:after="80"/>
      </w:pPr>
      <w:r>
        <w:rPr>
          <w:rFonts w:ascii="Calibri" w:hAnsi="Calibri" w:cs="Calibri"/>
          <w:b/>
          <w:i w:val="0"/>
          <w:color w:val="000000"/>
          <w:sz w:val="22"/>
          <w:u w:val="none"/>
        </w:rPr>
        <w:t>6</w:t>
      </w:r>
      <w:r>
        <w:rPr>
          <w:rFonts w:ascii="Calibri" w:hAnsi="Calibri" w:cs="Calibri"/>
          <w:b/>
          <w:i w:val="0"/>
          <w:color w:val="000000"/>
          <w:sz w:val="22"/>
          <w:u w:val="none"/>
        </w:rPr>
        <w:tab/>
      </w:r>
      <w:r>
        <w:rPr>
          <w:rFonts w:ascii="Calibri" w:hAnsi="Calibri" w:cs="Calibri"/>
          <w:b/>
          <w:i w:val="0"/>
          <w:color w:val="000000"/>
          <w:sz w:val="22"/>
          <w:u w:val="none"/>
        </w:rPr>
        <w:t>PROCEDURE</w:t>
      </w:r>
    </w:p>
    <w:p>
      <w:pPr>
        <w:tabs>
          <w:tab w:pos="1296" w:val="left"/>
        </w:tabs>
        <w:spacing w:after="8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6.1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General Risk Management Principles</w:t>
      </w:r>
    </w:p>
    <w:p>
      <w:pPr>
        <w:tabs>
          <w:tab w:pos="1872" w:val="left"/>
        </w:tabs>
        <w:spacing w:after="80"/>
        <w:ind w:left="1872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6.1.1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Risk management activities are performed using a risk-based approach appropriate to the nature, complexity, regulatory relevance, intended use, and potential impact of the activity, system, study, process, or issue being evaluated.</w:t>
      </w:r>
    </w:p>
    <w:p>
      <w:pPr>
        <w:tabs>
          <w:tab w:pos="1872" w:val="left"/>
        </w:tabs>
        <w:spacing w:after="80"/>
        <w:ind w:left="1872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6.1.2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The level of effort, documentation, review, oversight, and mitigation activities should be commensurate with the level of identified risk.</w:t>
      </w:r>
    </w:p>
    <w:p>
      <w:pPr>
        <w:tabs>
          <w:tab w:pos="1872" w:val="left"/>
        </w:tabs>
        <w:spacing w:after="80"/>
        <w:ind w:left="1872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6.1.3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Risk management activities may be initiated as part of: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Computer system validation activities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Change control activities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Incident investigations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CAPA activities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Deviations or nonconformances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Clinical study activities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Vendor qualification activities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Security or cybersecurity events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Regulatory or operational changes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Artificial intelligence or machine learning activities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Audit or inspection findings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Data integrity investigations</w:t>
      </w:r>
    </w:p>
    <w:p>
      <w:pPr>
        <w:tabs>
          <w:tab w:pos="1296" w:val="left"/>
        </w:tabs>
        <w:spacing w:after="8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6.2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Risk Identification</w:t>
      </w:r>
    </w:p>
    <w:p>
      <w:pPr>
        <w:tabs>
          <w:tab w:pos="1872" w:val="left"/>
        </w:tabs>
        <w:spacing w:after="80"/>
        <w:ind w:left="1872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6.2.1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Risks may be identified through: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Operational activities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Quality events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Audits or inspections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Incidents or deviations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CAPA investigations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System changes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Vendor assessments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Clinical study oversight activities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Security assessments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Regulatory changes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Personnel observations or escalations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Customer, sponsor, CRO, investigator, or vendor feedback</w:t>
      </w:r>
    </w:p>
    <w:p>
      <w:pPr>
        <w:tabs>
          <w:tab w:pos="1872" w:val="left"/>
        </w:tabs>
        <w:spacing w:after="80"/>
        <w:ind w:left="1872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6.2.2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Potential risks may include: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Data integrity risks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Subject safety risks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Cybersecurity risks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Software or system failures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Inaccurate analysis results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Unauthorized access to regulated systems or data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Protocol noncompliance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Operational disruptions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Vendor or service provider failures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Artificial intelligence or machine learning performance concerns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Inadequate validation or verification activities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Insufficient oversight or training</w:t>
      </w:r>
    </w:p>
    <w:p>
      <w:pPr>
        <w:tabs>
          <w:tab w:pos="1296" w:val="left"/>
        </w:tabs>
        <w:spacing w:after="8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6.3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Risk Analysis and Evaluation</w:t>
      </w:r>
    </w:p>
    <w:p>
      <w:pPr>
        <w:tabs>
          <w:tab w:pos="1872" w:val="left"/>
        </w:tabs>
        <w:spacing w:after="80"/>
        <w:ind w:left="1872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6.3.1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Appropriate personnel evaluate identified risks considering: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Probability or likelihood of occurrence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Severity or potential impact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Detectability where applicable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Potential impact on subject safety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Potential impact on data integrity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Regulatory or compliance impact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Operational or business impact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Impact to study integrity, quality, or reliability</w:t>
      </w:r>
    </w:p>
    <w:p>
      <w:pPr>
        <w:tabs>
          <w:tab w:pos="1872" w:val="left"/>
        </w:tabs>
        <w:spacing w:after="80"/>
        <w:ind w:left="1872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6.3.2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Risk assessments may be documented using qualitative or quantitative approaches where appropriate.</w:t>
      </w:r>
    </w:p>
    <w:p>
      <w:pPr>
        <w:tabs>
          <w:tab w:pos="2448" w:val="left"/>
        </w:tabs>
        <w:spacing w:after="80"/>
        <w:ind w:left="2448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6.3.2.1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Example risk ratings may include: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Low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Moderate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High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Critical</w:t>
      </w:r>
    </w:p>
    <w:p>
      <w:pPr>
        <w:tabs>
          <w:tab w:pos="1872" w:val="left"/>
        </w:tabs>
        <w:spacing w:after="80"/>
        <w:ind w:left="1872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6.3.3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Higher-risk activities, systems, or issues may require additional oversight, mitigation, validation, monitoring, review, or escalation activities where appropriate.</w:t>
      </w:r>
    </w:p>
    <w:p>
      <w:pPr>
        <w:tabs>
          <w:tab w:pos="1296" w:val="left"/>
        </w:tabs>
        <w:spacing w:after="8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6.4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Risk Control and Mitigation</w:t>
      </w:r>
    </w:p>
    <w:p>
      <w:pPr>
        <w:tabs>
          <w:tab w:pos="1872" w:val="left"/>
        </w:tabs>
        <w:spacing w:after="80"/>
        <w:ind w:left="1872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6.4.1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Appropriate risk control measures may be implemented to reduce identified risks to acceptable levels where appropriate.</w:t>
      </w:r>
    </w:p>
    <w:p>
      <w:pPr>
        <w:tabs>
          <w:tab w:pos="1872" w:val="left"/>
        </w:tabs>
        <w:spacing w:after="80"/>
        <w:ind w:left="1872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6.4.2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Risk control activities may include: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Procedural updates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Additional training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Software or system changes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Increased oversight or monitoring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Access restrictions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Corrective or preventive actions (CAPA)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Additional testing or validation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Vendor oversight activities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Security enhancements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Manual review or verification activities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Study-specific mitigation activities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Additional monitoring or audit activities</w:t>
      </w:r>
    </w:p>
    <w:p>
      <w:pPr>
        <w:tabs>
          <w:tab w:pos="1872" w:val="left"/>
        </w:tabs>
        <w:spacing w:after="80"/>
        <w:ind w:left="1872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6.4.3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Risk controls should be appropriate to the nature and significance of the identified risk.</w:t>
      </w:r>
    </w:p>
    <w:p>
      <w:pPr>
        <w:tabs>
          <w:tab w:pos="1296" w:val="left"/>
        </w:tabs>
        <w:spacing w:after="8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6.5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Residual Risk and Risk Acceptance</w:t>
      </w:r>
    </w:p>
    <w:p>
      <w:pPr>
        <w:tabs>
          <w:tab w:pos="1872" w:val="left"/>
        </w:tabs>
        <w:spacing w:after="80"/>
        <w:ind w:left="1872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6.5.1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Residual risks remaining after implementation of risk controls may be accepted where justified based on operational, regulatory, clinical, quality, subject safety, data integrity, cybersecurity, or business considerations.</w:t>
      </w:r>
    </w:p>
    <w:p>
      <w:pPr>
        <w:tabs>
          <w:tab w:pos="1872" w:val="left"/>
        </w:tabs>
        <w:spacing w:after="80"/>
        <w:ind w:left="1872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6.5.2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Significant residual risks may require escalation to appropriate management, QA, sponsors, investigators, CROs, or other stakeholders where applicable.</w:t>
      </w:r>
    </w:p>
    <w:p>
      <w:pPr>
        <w:tabs>
          <w:tab w:pos="1296" w:val="left"/>
        </w:tabs>
        <w:spacing w:after="8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6.6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Risk Review and Reassessment</w:t>
      </w:r>
    </w:p>
    <w:p>
      <w:pPr>
        <w:tabs>
          <w:tab w:pos="1872" w:val="left"/>
        </w:tabs>
        <w:spacing w:after="80"/>
        <w:ind w:left="1872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6.6.1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Risks and mitigation activities may be periodically reviewed or reassessed based on: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Risk level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System or process criticality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Operational changes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Security events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Clinical study findings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Regulatory updates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Audit or inspection findings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CAPA effectiveness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Incident or deviation trends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Changes to vendors, systems, software, or operational workflows</w:t>
      </w:r>
    </w:p>
    <w:p>
      <w:pPr>
        <w:tabs>
          <w:tab w:pos="1872" w:val="left"/>
        </w:tabs>
        <w:spacing w:after="80"/>
        <w:ind w:left="1872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6.6.2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Risk reviews may evaluate: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Effectiveness of mitigation activities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Emergence of new risks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Changes to existing risks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Need for additional controls or actions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Adequacy of oversight or monitoring activities</w:t>
      </w:r>
    </w:p>
    <w:p>
      <w:pPr>
        <w:tabs>
          <w:tab w:pos="1296" w:val="left"/>
        </w:tabs>
        <w:spacing w:after="8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6.7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Escalation of Significant Risks</w:t>
      </w:r>
    </w:p>
    <w:p>
      <w:pPr>
        <w:tabs>
          <w:tab w:pos="1872" w:val="left"/>
        </w:tabs>
        <w:spacing w:after="80"/>
        <w:ind w:left="1872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6.7.1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Significant risks may be escalated to management, QA, sponsors, CROs, investigators, vendors, service providers, ethics committees, or regulatory authorities where appropriate, including for: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Subject safety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Data integrity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Regulatory compliance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Clinical study conduct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Cybersecurity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System reliability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Business continuity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Artificial intelligence or machine learning performance</w:t>
      </w:r>
    </w:p>
    <w:p>
      <w:pPr>
        <w:tabs>
          <w:tab w:pos="1296" w:val="left"/>
        </w:tabs>
        <w:spacing w:after="8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6.8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Documentation</w:t>
      </w:r>
    </w:p>
    <w:p>
      <w:pPr>
        <w:tabs>
          <w:tab w:pos="1872" w:val="left"/>
        </w:tabs>
        <w:spacing w:after="80"/>
        <w:ind w:left="1872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6.8.1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Risk assessments, mitigation activities, reviews, escalations, and associated records may be documented and maintained in controlled repositories where appropriate.</w:t>
      </w:r>
    </w:p>
    <w:p>
      <w:pPr>
        <w:tabs>
          <w:tab w:pos="1872" w:val="left"/>
        </w:tabs>
        <w:spacing w:after="80"/>
        <w:ind w:left="1872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6.8.2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Associated records may include: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Risk assessments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Risk logs or registers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CAPAs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Deviations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Change controls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Incident records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Security assessments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Validation documentation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Investigation records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Study documentation</w:t>
      </w:r>
    </w:p>
    <w:p>
      <w:pPr>
        <w:keepNext/>
        <w:tabs>
          <w:tab w:pos="504" w:val="left"/>
        </w:tabs>
        <w:spacing w:before="160" w:after="80"/>
      </w:pPr>
      <w:r>
        <w:rPr>
          <w:rFonts w:ascii="Calibri" w:hAnsi="Calibri" w:cs="Calibri"/>
          <w:b/>
          <w:i w:val="0"/>
          <w:color w:val="000000"/>
          <w:sz w:val="22"/>
          <w:u w:val="none"/>
        </w:rPr>
        <w:t>7</w:t>
      </w:r>
      <w:r>
        <w:rPr>
          <w:rFonts w:ascii="Calibri" w:hAnsi="Calibri" w:cs="Calibri"/>
          <w:b/>
          <w:i w:val="0"/>
          <w:color w:val="000000"/>
          <w:sz w:val="22"/>
          <w:u w:val="none"/>
        </w:rPr>
        <w:tab/>
      </w:r>
      <w:r>
        <w:rPr>
          <w:rFonts w:ascii="Calibri" w:hAnsi="Calibri" w:cs="Calibri"/>
          <w:b/>
          <w:i w:val="0"/>
          <w:color w:val="000000"/>
          <w:sz w:val="22"/>
          <w:u w:val="none"/>
        </w:rPr>
        <w:t>ATTACHMENTS</w:t>
      </w:r>
    </w:p>
    <w:p>
      <w:pPr>
        <w:tabs>
          <w:tab w:pos="1296" w:val="left"/>
        </w:tabs>
        <w:spacing w:after="60"/>
        <w:ind w:left="1296" w:hanging="576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•</w:t>
        <w:tab/>
      </w: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NA</w:t>
      </w:r>
    </w:p>
    <w:p>
      <w:pPr>
        <w:keepNext/>
        <w:tabs>
          <w:tab w:pos="504" w:val="left"/>
        </w:tabs>
        <w:spacing w:before="160" w:after="80"/>
      </w:pPr>
      <w:r>
        <w:rPr>
          <w:rFonts w:ascii="Calibri" w:hAnsi="Calibri" w:cs="Calibri"/>
          <w:b/>
          <w:i w:val="0"/>
          <w:color w:val="000000"/>
          <w:sz w:val="22"/>
          <w:u w:val="none"/>
        </w:rPr>
        <w:t>8</w:t>
      </w:r>
      <w:r>
        <w:rPr>
          <w:rFonts w:ascii="Calibri" w:hAnsi="Calibri" w:cs="Calibri"/>
          <w:b/>
          <w:i w:val="0"/>
          <w:color w:val="000000"/>
          <w:sz w:val="22"/>
          <w:u w:val="none"/>
        </w:rPr>
        <w:tab/>
      </w:r>
      <w:r>
        <w:rPr>
          <w:rFonts w:ascii="Calibri" w:hAnsi="Calibri" w:cs="Calibri"/>
          <w:b/>
          <w:i w:val="0"/>
          <w:color w:val="000000"/>
          <w:sz w:val="22"/>
          <w:u w:val="none"/>
        </w:rPr>
        <w:t>REVISION HISTORY</w:t>
      </w:r>
    </w:p>
    <w:p>
      <w:pPr>
        <w:spacing w:after="120"/>
        <w:ind w:left="504"/>
      </w:pPr>
      <w:r>
        <w:rPr>
          <w:rFonts w:ascii="Calibri" w:hAnsi="Calibri" w:cs="Calibri"/>
          <w:b w:val="0"/>
          <w:i w:val="0"/>
          <w:color w:val="000000"/>
          <w:sz w:val="22"/>
          <w:u w:val="none"/>
        </w:rPr>
        <w:t>Version Date Summary of Change(s) Number 01 22-MAY-2026 New Document [X.0] [DD-MMM- [Insert a summary of the changes] YYYY] SIGNATURE PAGE [ADD ADDITIONAL ROWS AS NEEDED] Author: NAME TITLE SIGNATURE DATE DD-MMM- YYYY Justin Shaka Fractional COO Reviewer: NAME TITLE SIGNATURE DATE Jay Chhablani President Approver: NAME TITLE SIGNATURE DATE Sandeep Chandra Director of AI Bollepalli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2304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000000"/>
        <w:sz w:val="18"/>
        <w:u w:val="none"/>
      </w:rPr>
      <w:t>THIS DOCUMENT CONTAINS CONFIDENTIAL AND PROPRIETARY INFORMATION</w:t>
    </w:r>
  </w:p>
  <w:p>
    <w:pPr>
      <w:jc w:val="right"/>
    </w:pPr>
    <w:r>
      <w:rPr>
        <w:rFonts w:ascii="Calibri" w:hAnsi="Calibri" w:cs="Calibri"/>
        <w:b w:val="0"/>
        <w:i w:val="0"/>
        <w:color w:val="000000"/>
        <w:sz w:val="22"/>
        <w:u w:val="none"/>
      </w:rPr>
      <w:t xml:space="preserve">Page </w:t>
    </w:r>
    <w:r>
      <w:rPr>
        <w:rFonts w:ascii="Calibri" w:hAnsi="Calibri" w:cs="Calibri"/>
        <w:b w:val="0"/>
        <w:i w:val="0"/>
        <w:color w:val="000000"/>
        <w:sz w:val="22"/>
        <w:u w:val="none"/>
      </w:rPr>
      <w:fldChar w:fldCharType="begin"/>
      <w:instrText xml:space="preserve">PAGE</w:instrText>
      <w:fldChar w:fldCharType="end"/>
    </w:r>
    <w:r>
      <w:rPr>
        <w:rFonts w:ascii="Calibri" w:hAnsi="Calibri" w:cs="Calibri"/>
        <w:b w:val="0"/>
        <w:i w:val="0"/>
        <w:color w:val="000000"/>
        <w:sz w:val="22"/>
        <w:u w:val="none"/>
      </w:rPr>
      <w:t xml:space="preserve"> of </w:t>
    </w:r>
    <w:r>
      <w:rPr>
        <w:rFonts w:ascii="Calibri" w:hAnsi="Calibri" w:cs="Calibri"/>
        <w:b w:val="0"/>
        <w:i w:val="0"/>
        <w:color w:val="000000"/>
        <w:sz w:val="22"/>
        <w:u w:val="none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  <w:tblLayout w:type="fixed"/>
      <w:tblCellMar>
        <w:top w:w="0" w:type="dxa"/>
        <w:start w:w="0" w:type="dxa"/>
        <w:bottom w:w="0" w:type="dxa"/>
        <w:end w:w="0" w:type="dxa"/>
        <w:left w:w="0" w:type="dxa"/>
        <w:right w:w="0" w:type="dxa"/>
      </w:tblCellMar>
    </w:tblPr>
    <w:tblGrid>
      <w:gridCol w:w="4608"/>
      <w:gridCol w:w="4608"/>
    </w:tblGrid>
    <w:tr>
      <w:tc>
        <w:tcPr>
          <w:tcW w:type="dxa" w:w="3744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2194560" cy="43298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netramind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94560" cy="43298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472"/>
        </w:tcPr>
        <w:p/>
        <w:tbl>
          <w:tblPr>
            <w:tblW w:type="auto" w:w="0"/>
            <w:tblLayout w:type="fixed"/>
            <w:tblLook w:firstColumn="1" w:firstRow="1" w:lastColumn="0" w:lastRow="0" w:noHBand="0" w:noVBand="1" w:val="04A0"/>
            <w:tblLayout w:type="fixed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</w:tblPr>
          <w:tblGrid>
            <w:gridCol w:w="2736"/>
            <w:gridCol w:w="2736"/>
          </w:tblGrid>
          <w:tr>
            <w:tc>
              <w:tcPr>
                <w:tcW w:type="dxa" w:w="5328"/>
                <w:gridSpan w:val="2"/>
              </w:tcPr>
              <w:p>
                <w:pPr>
                  <w:spacing w:after="20" w:before="20"/>
                  <w:jc w:val="center"/>
                </w:pPr>
                <w:r/>
                <w:r>
                  <w:rPr>
                    <w:rFonts w:ascii="Calibri" w:hAnsi="Calibri" w:cs="Calibri"/>
                    <w:b w:val="0"/>
                    <w:i w:val="0"/>
                    <w:color w:val="000000"/>
                    <w:sz w:val="20"/>
                    <w:u w:val="none"/>
                  </w:rPr>
                  <w:t>STANDARD OPERATING PROCEDURE</w:t>
                </w:r>
              </w:p>
            </w:tc>
          </w:tr>
          <w:tr>
            <w:tc>
              <w:tcPr>
                <w:tcW w:type="dxa" w:w="2160"/>
              </w:tcPr>
              <w:p>
                <w:pPr>
                  <w:spacing w:after="20" w:before="20"/>
                  <w:jc w:val="right"/>
                </w:pPr>
                <w:r/>
                <w:r>
                  <w:rPr>
                    <w:rFonts w:ascii="Calibri" w:hAnsi="Calibri" w:cs="Calibri"/>
                    <w:b w:val="0"/>
                    <w:i w:val="0"/>
                    <w:color w:val="000000"/>
                    <w:sz w:val="22"/>
                    <w:u w:val="none"/>
                  </w:rPr>
                  <w:t>Document Number:</w:t>
                </w:r>
              </w:p>
            </w:tc>
            <w:tc>
              <w:tcPr>
                <w:tcW w:type="dxa" w:w="3168"/>
              </w:tcPr>
              <w:p>
                <w:pPr>
                  <w:spacing w:after="20" w:before="20"/>
                </w:pPr>
                <w:r/>
                <w:r>
                  <w:rPr>
                    <w:rFonts w:ascii="Calibri" w:hAnsi="Calibri" w:cs="Calibri"/>
                    <w:b w:val="0"/>
                    <w:i w:val="0"/>
                    <w:color w:val="000000"/>
                    <w:sz w:val="22"/>
                    <w:u w:val="none"/>
                  </w:rPr>
                  <w:t>SOP-030</w:t>
                </w:r>
              </w:p>
            </w:tc>
          </w:tr>
          <w:tr>
            <w:tc>
              <w:tcPr>
                <w:tcW w:type="dxa" w:w="2160"/>
              </w:tcPr>
              <w:p>
                <w:pPr>
                  <w:spacing w:after="20" w:before="20"/>
                  <w:jc w:val="right"/>
                </w:pPr>
                <w:r/>
                <w:r>
                  <w:rPr>
                    <w:rFonts w:ascii="Calibri" w:hAnsi="Calibri" w:cs="Calibri"/>
                    <w:b w:val="0"/>
                    <w:i w:val="0"/>
                    <w:color w:val="000000"/>
                    <w:sz w:val="22"/>
                    <w:u w:val="none"/>
                  </w:rPr>
                  <w:t>Effective Date:</w:t>
                </w:r>
              </w:p>
            </w:tc>
            <w:tc>
              <w:tcPr>
                <w:tcW w:type="dxa" w:w="3168"/>
              </w:tcPr>
              <w:p>
                <w:pPr>
                  <w:spacing w:after="20" w:before="20"/>
                </w:pPr>
                <w:r/>
                <w:r>
                  <w:rPr>
                    <w:rFonts w:ascii="Calibri" w:hAnsi="Calibri" w:cs="Calibri"/>
                    <w:b w:val="0"/>
                    <w:i w:val="0"/>
                    <w:color w:val="000000"/>
                    <w:sz w:val="22"/>
                    <w:u w:val="none"/>
                  </w:rPr>
                  <w:t>22-MAY-2026</w:t>
                </w:r>
              </w:p>
            </w:tc>
          </w:tr>
          <w:tr>
            <w:tc>
              <w:tcPr>
                <w:tcW w:type="dxa" w:w="2160"/>
              </w:tcPr>
              <w:p>
                <w:pPr>
                  <w:spacing w:after="20" w:before="20"/>
                  <w:jc w:val="right"/>
                </w:pPr>
                <w:r/>
                <w:r>
                  <w:rPr>
                    <w:rFonts w:ascii="Calibri" w:hAnsi="Calibri" w:cs="Calibri"/>
                    <w:b w:val="0"/>
                    <w:i w:val="0"/>
                    <w:color w:val="000000"/>
                    <w:sz w:val="22"/>
                    <w:u w:val="none"/>
                  </w:rPr>
                  <w:t>Version Number:</w:t>
                </w:r>
              </w:p>
            </w:tc>
            <w:tc>
              <w:tcPr>
                <w:tcW w:type="dxa" w:w="3168"/>
              </w:tcPr>
              <w:p>
                <w:pPr>
                  <w:spacing w:after="20" w:before="20"/>
                </w:pPr>
                <w:r/>
                <w:r>
                  <w:rPr>
                    <w:rFonts w:ascii="Calibri" w:hAnsi="Calibri" w:cs="Calibri"/>
                    <w:b w:val="0"/>
                    <w:i w:val="0"/>
                    <w:color w:val="000000"/>
                    <w:sz w:val="22"/>
                    <w:u w:val="none"/>
                  </w:rPr>
                  <w:t>01</w:t>
                </w:r>
              </w:p>
            </w:tc>
          </w:tr>
          <w:tr>
            <w:tc>
              <w:tcPr>
                <w:tcW w:type="dxa" w:w="2160"/>
              </w:tcPr>
              <w:p>
                <w:pPr>
                  <w:spacing w:after="20" w:before="20"/>
                  <w:jc w:val="right"/>
                </w:pPr>
                <w:r/>
                <w:r>
                  <w:rPr>
                    <w:rFonts w:ascii="Calibri" w:hAnsi="Calibri" w:cs="Calibri"/>
                    <w:b w:val="0"/>
                    <w:i w:val="0"/>
                    <w:color w:val="000000"/>
                    <w:sz w:val="22"/>
                    <w:u w:val="none"/>
                  </w:rPr>
                  <w:t>Page:</w:t>
                </w:r>
              </w:p>
            </w:tc>
            <w:tc>
              <w:tcPr>
                <w:tcW w:type="dxa" w:w="3168"/>
              </w:tcPr>
              <w:p>
                <w:r/>
                <w:r>
                  <w:rPr>
                    <w:rFonts w:ascii="Calibri" w:hAnsi="Calibri" w:cs="Calibri"/>
                    <w:b w:val="0"/>
                    <w:i w:val="0"/>
                    <w:color w:val="000000"/>
                    <w:sz w:val="22"/>
                    <w:u w:val="none"/>
                  </w:rPr>
                  <w:fldChar w:fldCharType="begin"/>
                  <w:instrText xml:space="preserve">PAGE</w:instrText>
                  <w:fldChar w:fldCharType="end"/>
                </w:r>
                <w:r>
                  <w:rPr>
                    <w:rFonts w:ascii="Calibri" w:hAnsi="Calibri" w:cs="Calibri"/>
                    <w:b w:val="0"/>
                    <w:i w:val="0"/>
                    <w:color w:val="000000"/>
                    <w:sz w:val="22"/>
                    <w:u w:val="none"/>
                  </w:rPr>
                  <w:t xml:space="preserve"> of </w:t>
                </w:r>
                <w:r>
                  <w:rPr>
                    <w:rFonts w:ascii="Calibri" w:hAnsi="Calibri" w:cs="Calibri"/>
                    <w:b w:val="0"/>
                    <w:i w:val="0"/>
                    <w:color w:val="000000"/>
                    <w:sz w:val="22"/>
                    <w:u w:val="none"/>
                  </w:rPr>
                  <w:fldChar w:fldCharType="begin"/>
                  <w:instrText xml:space="preserve">NUMPAGES</w:instrText>
                  <w:fldChar w:fldCharType="end"/>
                </w:r>
              </w:p>
            </w:tc>
          </w:tr>
        </w:tbl>
        <w:p/>
      </w:tc>
    </w:tr>
  </w:tbl>
  <w:p>
    <w:r>
      <w:rPr>
        <w:rFonts w:ascii="Calibri" w:hAnsi="Calibri" w:cs="Calibri"/>
        <w:b/>
        <w:i w:val="0"/>
        <w:color w:val="000000"/>
        <w:sz w:val="22"/>
        <w:u w:val="none"/>
      </w:rPr>
      <w:t xml:space="preserve">Title: </w:t>
    </w:r>
    <w:r>
      <w:rPr>
        <w:rFonts w:ascii="Calibri" w:hAnsi="Calibri" w:cs="Calibri"/>
        <w:b/>
        <w:i w:val="0"/>
        <w:color w:val="000000"/>
        <w:sz w:val="22"/>
        <w:u w:val="none"/>
      </w:rPr>
      <w:t>Risk Management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