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sz w:val="22"/>
          <w:u w:val="none"/>
        </w:rPr>
        <w:t>1</w:t>
      </w:r>
      <w:r>
        <w:rPr>
          <w:rFonts w:ascii="Calibri" w:hAnsi="Calibri" w:cs="Calibri"/>
          <w:b/>
          <w:i w:val="0"/>
          <w:sz w:val="22"/>
          <w:u w:val="none"/>
        </w:rPr>
        <w:tab/>
      </w:r>
      <w:r>
        <w:rPr>
          <w:rFonts w:ascii="Calibri" w:hAnsi="Calibri" w:cs="Calibri"/>
          <w:b/>
          <w:i w:val="0"/>
          <w:sz w:val="22"/>
          <w:u w:val="none"/>
        </w:rPr>
        <w:t>PURPOSE</w:t>
      </w:r>
    </w:p>
    <w:p>
      <w:pPr>
        <w:spacing w:after="120"/>
        <w:ind w:left="504"/>
      </w:pPr>
      <w:r>
        <w:rPr>
          <w:rFonts w:ascii="Calibri" w:hAnsi="Calibri" w:cs="Calibri"/>
          <w:b w:val="0"/>
          <w:i w:val="0"/>
          <w:sz w:val="22"/>
          <w:u w:val="none"/>
        </w:rPr>
        <w:t>This SOP establishes the requirement that Netramind personnel follow written instructions, manufacturer manuals, and on-screen prompts exactly as specified, in the correct sequence, when performing imaging acquisition and related study procedures. It ensures consistent, reproducible execution of directional steps across sites and operators, minimizing deviations that could compromise image quality, data integrity, or study compliance.</w:t>
      </w:r>
    </w:p>
    <w:p>
      <w:pPr>
        <w:keepNext/>
        <w:tabs>
          <w:tab w:pos="504" w:val="left"/>
        </w:tabs>
        <w:spacing w:before="160" w:after="80"/>
      </w:pPr>
      <w:r>
        <w:rPr>
          <w:rFonts w:ascii="Calibri" w:hAnsi="Calibri" w:cs="Calibri"/>
          <w:b/>
          <w:i w:val="0"/>
          <w:sz w:val="22"/>
          <w:u w:val="none"/>
        </w:rPr>
        <w:t>2</w:t>
      </w:r>
      <w:r>
        <w:rPr>
          <w:rFonts w:ascii="Calibri" w:hAnsi="Calibri" w:cs="Calibri"/>
          <w:b/>
          <w:i w:val="0"/>
          <w:sz w:val="22"/>
          <w:u w:val="none"/>
        </w:rPr>
        <w:tab/>
      </w:r>
      <w:r>
        <w:rPr>
          <w:rFonts w:ascii="Calibri" w:hAnsi="Calibri" w:cs="Calibri"/>
          <w:b/>
          <w:i w:val="0"/>
          <w:sz w:val="22"/>
          <w:u w:val="none"/>
        </w:rPr>
        <w:t>SCOPE</w:t>
      </w:r>
    </w:p>
    <w:p>
      <w:pPr>
        <w:spacing w:after="120"/>
        <w:ind w:left="504"/>
      </w:pPr>
      <w:r>
        <w:rPr>
          <w:rFonts w:ascii="Calibri" w:hAnsi="Calibri" w:cs="Calibri"/>
          <w:b w:val="0"/>
          <w:i w:val="0"/>
          <w:sz w:val="22"/>
          <w:u w:val="none"/>
        </w:rPr>
        <w:t>This SOP applies to all Netramind personnel who perform image acquisition, equipment operation, or other procedural tasks governed by manufacturer manuals (e.g., MAN-018-02) or study-specific Imaging Acquisition Manuals and Documents (e.g., MAN-018-01). It covers the sequential execution of directional steps, handling of ambiguous instructions, and escalation through the NORC Site Portal. It applies at all Netramind imaging sites and supersedes informal or ad hoc interpretation of instructions.</w:t>
      </w:r>
    </w:p>
    <w:p>
      <w:pPr>
        <w:keepNext/>
        <w:tabs>
          <w:tab w:pos="504" w:val="left"/>
        </w:tabs>
        <w:spacing w:before="160" w:after="80"/>
      </w:pPr>
      <w:r>
        <w:rPr>
          <w:rFonts w:ascii="Calibri" w:hAnsi="Calibri" w:cs="Calibri"/>
          <w:b/>
          <w:i w:val="0"/>
          <w:sz w:val="22"/>
          <w:u w:val="none"/>
        </w:rPr>
        <w:t>3</w:t>
      </w:r>
      <w:r>
        <w:rPr>
          <w:rFonts w:ascii="Calibri" w:hAnsi="Calibri" w:cs="Calibri"/>
          <w:b/>
          <w:i w:val="0"/>
          <w:sz w:val="22"/>
          <w:u w:val="none"/>
        </w:rPr>
        <w:tab/>
      </w:r>
      <w:r>
        <w:rPr>
          <w:rFonts w:ascii="Calibri" w:hAnsi="Calibri" w:cs="Calibri"/>
          <w:b/>
          <w:i w:val="0"/>
          <w:sz w:val="22"/>
          <w:u w:val="none"/>
        </w:rPr>
        <w:t>REFERENCES</w:t>
      </w:r>
    </w:p>
    <w:p>
      <w:pPr>
        <w:tabs>
          <w:tab w:pos="1296" w:val="left"/>
        </w:tabs>
        <w:spacing w:after="60"/>
        <w:ind w:left="1296" w:hanging="576"/>
      </w:pPr>
      <w:r>
        <w:rPr>
          <w:rFonts w:ascii="Calibri" w:hAnsi="Calibri" w:cs="Calibri"/>
          <w:b w:val="0"/>
          <w:i w:val="0"/>
          <w:sz w:val="22"/>
          <w:u w:val="none"/>
        </w:rPr>
        <w:t>•</w:t>
        <w:tab/>
      </w:r>
      <w:r>
        <w:rPr>
          <w:rFonts w:ascii="Calibri" w:hAnsi="Calibri" w:cs="Calibri"/>
          <w:b w:val="0"/>
          <w:i w:val="0"/>
          <w:color w:val="C00000"/>
          <w:sz w:val="22"/>
          <w:u w:val="none"/>
        </w:rPr>
        <w:t>SOP-033 — Following Directions</w:t>
      </w:r>
    </w:p>
    <w:p>
      <w:pPr>
        <w:tabs>
          <w:tab w:pos="1296" w:val="left"/>
        </w:tabs>
        <w:spacing w:after="60"/>
        <w:ind w:left="1296" w:hanging="576"/>
      </w:pPr>
      <w:r>
        <w:rPr>
          <w:rFonts w:ascii="Calibri" w:hAnsi="Calibri" w:cs="Calibri"/>
          <w:b w:val="0"/>
          <w:i w:val="0"/>
          <w:sz w:val="22"/>
          <w:u w:val="none"/>
        </w:rPr>
        <w:t>•</w:t>
        <w:tab/>
      </w:r>
      <w:r>
        <w:rPr>
          <w:rFonts w:ascii="Calibri" w:hAnsi="Calibri" w:cs="Calibri"/>
          <w:b w:val="0"/>
          <w:i w:val="0"/>
          <w:color w:val="C00000"/>
          <w:sz w:val="22"/>
          <w:u w:val="none"/>
        </w:rPr>
        <w:t>MAN-018-02 — Heidelberg SD-OCT Image Acquisition and File Export Manual - OCU410-301</w:t>
      </w:r>
    </w:p>
    <w:p>
      <w:pPr>
        <w:tabs>
          <w:tab w:pos="1296" w:val="left"/>
        </w:tabs>
        <w:spacing w:after="60"/>
        <w:ind w:left="1296" w:hanging="576"/>
      </w:pPr>
      <w:r>
        <w:rPr>
          <w:rFonts w:ascii="Calibri" w:hAnsi="Calibri" w:cs="Calibri"/>
          <w:b w:val="0"/>
          <w:i w:val="0"/>
          <w:sz w:val="22"/>
          <w:u w:val="none"/>
        </w:rPr>
        <w:t>•</w:t>
        <w:tab/>
      </w:r>
      <w:r>
        <w:rPr>
          <w:rFonts w:ascii="Calibri" w:hAnsi="Calibri" w:cs="Calibri"/>
          <w:b w:val="0"/>
          <w:i w:val="0"/>
          <w:color w:val="C00000"/>
          <w:sz w:val="22"/>
          <w:u w:val="none"/>
        </w:rPr>
        <w:t>MAN-018-01 — Study-specific Imaging Acquisition Manual and Documents</w:t>
      </w:r>
    </w:p>
    <w:p>
      <w:pPr>
        <w:tabs>
          <w:tab w:pos="1296" w:val="left"/>
        </w:tabs>
        <w:spacing w:after="60"/>
        <w:ind w:left="1296" w:hanging="576"/>
      </w:pPr>
      <w:r>
        <w:rPr>
          <w:rFonts w:ascii="Calibri" w:hAnsi="Calibri" w:cs="Calibri"/>
          <w:b w:val="0"/>
          <w:i w:val="0"/>
          <w:sz w:val="22"/>
          <w:u w:val="none"/>
        </w:rPr>
        <w:t>•</w:t>
        <w:tab/>
      </w:r>
      <w:r>
        <w:rPr>
          <w:rFonts w:ascii="Calibri" w:hAnsi="Calibri" w:cs="Calibri"/>
          <w:b w:val="0"/>
          <w:i w:val="0"/>
          <w:color w:val="C00000"/>
          <w:sz w:val="22"/>
          <w:u w:val="none"/>
        </w:rPr>
        <w:t>SOP-017 — Audit Trail Review</w:t>
      </w:r>
    </w:p>
    <w:p>
      <w:pPr>
        <w:tabs>
          <w:tab w:pos="1296" w:val="left"/>
        </w:tabs>
        <w:spacing w:after="60"/>
        <w:ind w:left="1296" w:hanging="576"/>
      </w:pPr>
      <w:r>
        <w:rPr>
          <w:rFonts w:ascii="Calibri" w:hAnsi="Calibri" w:cs="Calibri"/>
          <w:b w:val="0"/>
          <w:i w:val="0"/>
          <w:sz w:val="22"/>
          <w:u w:val="none"/>
        </w:rPr>
        <w:t>•</w:t>
        <w:tab/>
      </w:r>
      <w:r>
        <w:rPr>
          <w:rFonts w:ascii="Calibri" w:hAnsi="Calibri" w:cs="Calibri"/>
          <w:b w:val="0"/>
          <w:i w:val="0"/>
          <w:color w:val="C00000"/>
          <w:sz w:val="22"/>
          <w:u w:val="none"/>
        </w:rPr>
        <w:t>SOP-024 — Business Continuity Planning</w:t>
      </w:r>
    </w:p>
    <w:p>
      <w:pPr>
        <w:keepNext/>
        <w:tabs>
          <w:tab w:pos="504" w:val="left"/>
        </w:tabs>
        <w:spacing w:before="160" w:after="80"/>
      </w:pPr>
      <w:r>
        <w:rPr>
          <w:rFonts w:ascii="Calibri" w:hAnsi="Calibri" w:cs="Calibri"/>
          <w:b/>
          <w:i w:val="0"/>
          <w:sz w:val="22"/>
          <w:u w:val="none"/>
        </w:rPr>
        <w:t>4</w:t>
      </w:r>
      <w:r>
        <w:rPr>
          <w:rFonts w:ascii="Calibri" w:hAnsi="Calibri" w:cs="Calibri"/>
          <w:b/>
          <w:i w:val="0"/>
          <w:sz w:val="22"/>
          <w:u w:val="none"/>
        </w:rPr>
        <w:tab/>
      </w:r>
      <w:r>
        <w:rPr>
          <w:rFonts w:ascii="Calibri" w:hAnsi="Calibri" w:cs="Calibri"/>
          <w:b/>
          <w:i w:val="0"/>
          <w:sz w:val="22"/>
          <w:u w:val="none"/>
        </w:rPr>
        <w:t>DEFINITIONS</w:t>
      </w:r>
    </w:p>
    <w:p>
      <w:pPr>
        <w:tabs>
          <w:tab w:pos="1296" w:val="left"/>
        </w:tabs>
        <w:spacing w:after="80"/>
        <w:ind w:left="1296" w:hanging="576"/>
      </w:pPr>
      <w:r>
        <w:rPr>
          <w:rFonts w:ascii="Calibri" w:hAnsi="Calibri" w:cs="Calibri"/>
          <w:b w:val="0"/>
          <w:i w:val="0"/>
          <w:sz w:val="22"/>
          <w:u w:val="none"/>
        </w:rPr>
        <w:t>4.1</w:t>
        <w:tab/>
      </w:r>
      <w:r>
        <w:rPr>
          <w:rFonts w:ascii="Calibri" w:hAnsi="Calibri" w:cs="Calibri"/>
          <w:b w:val="0"/>
          <w:i w:val="0"/>
          <w:sz w:val="22"/>
          <w:u w:val="single"/>
        </w:rPr>
        <w:t>SOP</w:t>
      </w:r>
      <w:r>
        <w:rPr>
          <w:rFonts w:ascii="Calibri" w:hAnsi="Calibri" w:cs="Calibri"/>
          <w:b w:val="0"/>
          <w:i w:val="0"/>
          <w:sz w:val="22"/>
          <w:u w:val="none"/>
        </w:rPr>
        <w:t xml:space="preserve"> — </w:t>
      </w:r>
      <w:r>
        <w:rPr>
          <w:rFonts w:ascii="Calibri" w:hAnsi="Calibri" w:cs="Calibri"/>
          <w:b w:val="0"/>
          <w:i w:val="0"/>
          <w:sz w:val="22"/>
          <w:u w:val="none"/>
        </w:rPr>
        <w:t>Standard Operating Procedure</w:t>
      </w:r>
    </w:p>
    <w:p>
      <w:pPr>
        <w:tabs>
          <w:tab w:pos="1296" w:val="left"/>
        </w:tabs>
        <w:spacing w:after="80"/>
        <w:ind w:left="1296" w:hanging="576"/>
      </w:pPr>
      <w:r>
        <w:rPr>
          <w:rFonts w:ascii="Calibri" w:hAnsi="Calibri" w:cs="Calibri"/>
          <w:b w:val="0"/>
          <w:i w:val="0"/>
          <w:sz w:val="22"/>
          <w:u w:val="none"/>
        </w:rPr>
        <w:t>4.2</w:t>
        <w:tab/>
      </w:r>
      <w:r>
        <w:rPr>
          <w:rFonts w:ascii="Calibri" w:hAnsi="Calibri" w:cs="Calibri"/>
          <w:b w:val="0"/>
          <w:i w:val="0"/>
          <w:sz w:val="22"/>
          <w:u w:val="single"/>
        </w:rPr>
        <w:t>OCT</w:t>
      </w:r>
      <w:r>
        <w:rPr>
          <w:rFonts w:ascii="Calibri" w:hAnsi="Calibri" w:cs="Calibri"/>
          <w:b w:val="0"/>
          <w:i w:val="0"/>
          <w:sz w:val="22"/>
          <w:u w:val="none"/>
        </w:rPr>
        <w:t xml:space="preserve"> — </w:t>
      </w:r>
      <w:r>
        <w:rPr>
          <w:rFonts w:ascii="Calibri" w:hAnsi="Calibri" w:cs="Calibri"/>
          <w:b w:val="0"/>
          <w:i w:val="0"/>
          <w:sz w:val="22"/>
          <w:u w:val="none"/>
        </w:rPr>
        <w:t>Optical Coherence Tomography</w:t>
      </w:r>
    </w:p>
    <w:p>
      <w:pPr>
        <w:tabs>
          <w:tab w:pos="1296" w:val="left"/>
        </w:tabs>
        <w:spacing w:after="80"/>
        <w:ind w:left="1296" w:hanging="576"/>
      </w:pPr>
      <w:r>
        <w:rPr>
          <w:rFonts w:ascii="Calibri" w:hAnsi="Calibri" w:cs="Calibri"/>
          <w:b w:val="0"/>
          <w:i w:val="0"/>
          <w:sz w:val="22"/>
          <w:u w:val="none"/>
        </w:rPr>
        <w:t>4.3</w:t>
        <w:tab/>
      </w:r>
      <w:r>
        <w:rPr>
          <w:rFonts w:ascii="Calibri" w:hAnsi="Calibri" w:cs="Calibri"/>
          <w:b w:val="0"/>
          <w:i w:val="0"/>
          <w:sz w:val="22"/>
          <w:u w:val="single"/>
        </w:rPr>
        <w:t>OD/OS</w:t>
      </w:r>
      <w:r>
        <w:rPr>
          <w:rFonts w:ascii="Calibri" w:hAnsi="Calibri" w:cs="Calibri"/>
          <w:b w:val="0"/>
          <w:i w:val="0"/>
          <w:sz w:val="22"/>
          <w:u w:val="none"/>
        </w:rPr>
        <w:t xml:space="preserve"> — </w:t>
      </w:r>
      <w:r>
        <w:rPr>
          <w:rFonts w:ascii="Calibri" w:hAnsi="Calibri" w:cs="Calibri"/>
          <w:b w:val="0"/>
          <w:i w:val="0"/>
          <w:sz w:val="22"/>
          <w:u w:val="none"/>
        </w:rPr>
        <w:t>Oculus Dexter/Oculus Sinister (right eye/left eye)</w:t>
      </w:r>
    </w:p>
    <w:p>
      <w:pPr>
        <w:tabs>
          <w:tab w:pos="1296" w:val="left"/>
        </w:tabs>
        <w:spacing w:after="80"/>
        <w:ind w:left="1296" w:hanging="576"/>
      </w:pPr>
      <w:r>
        <w:rPr>
          <w:rFonts w:ascii="Calibri" w:hAnsi="Calibri" w:cs="Calibri"/>
          <w:b w:val="0"/>
          <w:i w:val="0"/>
          <w:sz w:val="22"/>
          <w:u w:val="none"/>
        </w:rPr>
        <w:t>4.4</w:t>
        <w:tab/>
      </w:r>
      <w:r>
        <w:rPr>
          <w:rFonts w:ascii="Calibri" w:hAnsi="Calibri" w:cs="Calibri"/>
          <w:b w:val="0"/>
          <w:i w:val="0"/>
          <w:sz w:val="22"/>
          <w:u w:val="single"/>
        </w:rPr>
        <w:t>NORC Site Portal</w:t>
      </w:r>
      <w:r>
        <w:rPr>
          <w:rFonts w:ascii="Calibri" w:hAnsi="Calibri" w:cs="Calibri"/>
          <w:b w:val="0"/>
          <w:i w:val="0"/>
          <w:sz w:val="22"/>
          <w:u w:val="none"/>
        </w:rPr>
        <w:t xml:space="preserve"> — </w:t>
      </w:r>
      <w:r>
        <w:rPr>
          <w:rFonts w:ascii="Calibri" w:hAnsi="Calibri" w:cs="Calibri"/>
          <w:b w:val="0"/>
          <w:i w:val="0"/>
          <w:sz w:val="22"/>
          <w:u w:val="none"/>
        </w:rPr>
        <w:t>the web-based portal used by sites to access study resources and submit support requests</w:t>
      </w:r>
    </w:p>
    <w:p>
      <w:pPr>
        <w:tabs>
          <w:tab w:pos="1296" w:val="left"/>
        </w:tabs>
        <w:spacing w:after="80"/>
        <w:ind w:left="1296" w:hanging="576"/>
      </w:pPr>
      <w:r>
        <w:rPr>
          <w:rFonts w:ascii="Calibri" w:hAnsi="Calibri" w:cs="Calibri"/>
          <w:b w:val="0"/>
          <w:i w:val="0"/>
          <w:sz w:val="22"/>
          <w:u w:val="none"/>
        </w:rPr>
        <w:t>4.5</w:t>
        <w:tab/>
      </w:r>
      <w:r>
        <w:rPr>
          <w:rFonts w:ascii="Calibri" w:hAnsi="Calibri" w:cs="Calibri"/>
          <w:b w:val="0"/>
          <w:i w:val="0"/>
          <w:sz w:val="22"/>
          <w:u w:val="single"/>
        </w:rPr>
        <w:t>Imaging Acquisition Manual</w:t>
      </w:r>
      <w:r>
        <w:rPr>
          <w:rFonts w:ascii="Calibri" w:hAnsi="Calibri" w:cs="Calibri"/>
          <w:b w:val="0"/>
          <w:i w:val="0"/>
          <w:sz w:val="22"/>
          <w:u w:val="none"/>
        </w:rPr>
        <w:t xml:space="preserve"> — </w:t>
      </w:r>
      <w:r>
        <w:rPr>
          <w:rFonts w:ascii="Calibri" w:hAnsi="Calibri" w:cs="Calibri"/>
          <w:b w:val="0"/>
          <w:i w:val="0"/>
          <w:sz w:val="22"/>
          <w:u w:val="none"/>
        </w:rPr>
        <w:t>the study-specific document (e.g., MAN-018-01) providing acquisition guidance beyond general manufacturer instructions</w:t>
      </w:r>
    </w:p>
    <w:p>
      <w:pPr>
        <w:tabs>
          <w:tab w:pos="1296" w:val="left"/>
        </w:tabs>
        <w:spacing w:after="80"/>
        <w:ind w:left="1296" w:hanging="576"/>
      </w:pPr>
      <w:r>
        <w:rPr>
          <w:rFonts w:ascii="Calibri" w:hAnsi="Calibri" w:cs="Calibri"/>
          <w:b w:val="0"/>
          <w:i w:val="0"/>
          <w:sz w:val="22"/>
          <w:u w:val="none"/>
        </w:rPr>
        <w:t>4.6</w:t>
        <w:tab/>
      </w:r>
      <w:r>
        <w:rPr>
          <w:rFonts w:ascii="Calibri" w:hAnsi="Calibri" w:cs="Calibri"/>
          <w:b w:val="0"/>
          <w:i w:val="0"/>
          <w:sz w:val="22"/>
          <w:u w:val="single"/>
        </w:rPr>
        <w:t>Contact Support</w:t>
      </w:r>
      <w:r>
        <w:rPr>
          <w:rFonts w:ascii="Calibri" w:hAnsi="Calibri" w:cs="Calibri"/>
          <w:b w:val="0"/>
          <w:i w:val="0"/>
          <w:sz w:val="22"/>
          <w:u w:val="none"/>
        </w:rPr>
        <w:t xml:space="preserve"> — </w:t>
      </w:r>
      <w:r>
        <w:rPr>
          <w:rFonts w:ascii="Calibri" w:hAnsi="Calibri" w:cs="Calibri"/>
          <w:b w:val="0"/>
          <w:i w:val="0"/>
          <w:sz w:val="22"/>
          <w:u w:val="none"/>
        </w:rPr>
        <w:t>the section of the NORC Site Portal Help tab used to submit questions or issues to study support staff</w:t>
      </w:r>
    </w:p>
    <w:p>
      <w:pPr>
        <w:tabs>
          <w:tab w:pos="1296" w:val="left"/>
        </w:tabs>
        <w:spacing w:after="80"/>
        <w:ind w:left="1296" w:hanging="576"/>
      </w:pPr>
      <w:r>
        <w:rPr>
          <w:rFonts w:ascii="Calibri" w:hAnsi="Calibri" w:cs="Calibri"/>
          <w:b w:val="0"/>
          <w:i w:val="0"/>
          <w:sz w:val="22"/>
          <w:u w:val="none"/>
        </w:rPr>
        <w:t>4.7</w:t>
        <w:tab/>
      </w:r>
      <w:r>
        <w:rPr>
          <w:rFonts w:ascii="Calibri" w:hAnsi="Calibri" w:cs="Calibri"/>
          <w:b w:val="0"/>
          <w:i w:val="0"/>
          <w:sz w:val="22"/>
          <w:u w:val="single"/>
        </w:rPr>
        <w:t>MAN-018-02</w:t>
      </w:r>
      <w:r>
        <w:rPr>
          <w:rFonts w:ascii="Calibri" w:hAnsi="Calibri" w:cs="Calibri"/>
          <w:b w:val="0"/>
          <w:i w:val="0"/>
          <w:sz w:val="22"/>
          <w:u w:val="none"/>
        </w:rPr>
        <w:t xml:space="preserve"> — </w:t>
      </w:r>
      <w:r>
        <w:rPr>
          <w:rFonts w:ascii="Calibri" w:hAnsi="Calibri" w:cs="Calibri"/>
          <w:b w:val="0"/>
          <w:i w:val="0"/>
          <w:sz w:val="22"/>
          <w:u w:val="none"/>
        </w:rPr>
        <w:t>Heidelberg SD-OCT Image Acquisition and File Export Manual - OCU410-301</w:t>
      </w:r>
    </w:p>
    <w:p>
      <w:pPr>
        <w:keepNext/>
        <w:tabs>
          <w:tab w:pos="504" w:val="left"/>
        </w:tabs>
        <w:spacing w:before="160" w:after="80"/>
      </w:pPr>
      <w:r>
        <w:rPr>
          <w:rFonts w:ascii="Calibri" w:hAnsi="Calibri" w:cs="Calibri"/>
          <w:b/>
          <w:i w:val="0"/>
          <w:sz w:val="22"/>
          <w:u w:val="none"/>
        </w:rPr>
        <w:t>5</w:t>
      </w:r>
      <w:r>
        <w:rPr>
          <w:rFonts w:ascii="Calibri" w:hAnsi="Calibri" w:cs="Calibri"/>
          <w:b/>
          <w:i w:val="0"/>
          <w:sz w:val="22"/>
          <w:u w:val="none"/>
        </w:rPr>
        <w:tab/>
      </w:r>
      <w:r>
        <w:rPr>
          <w:rFonts w:ascii="Calibri" w:hAnsi="Calibri" w:cs="Calibri"/>
          <w:b/>
          <w:i w:val="0"/>
          <w:sz w:val="22"/>
          <w:u w:val="none"/>
        </w:rPr>
        <w:t>RESPONSIBILITIES</w:t>
      </w:r>
    </w:p>
    <w:p>
      <w:pPr>
        <w:tabs>
          <w:tab w:pos="1296" w:val="left"/>
        </w:tabs>
        <w:spacing w:after="80"/>
        <w:ind w:left="1296" w:hanging="576"/>
      </w:pPr>
      <w:r>
        <w:rPr>
          <w:rFonts w:ascii="Calibri" w:hAnsi="Calibri" w:cs="Calibri"/>
          <w:b w:val="0"/>
          <w:i w:val="0"/>
          <w:sz w:val="22"/>
          <w:u w:val="none"/>
        </w:rPr>
        <w:t>5.1</w:t>
        <w:tab/>
      </w:r>
      <w:r>
        <w:rPr>
          <w:rFonts w:ascii="Calibri" w:hAnsi="Calibri" w:cs="Calibri"/>
          <w:b w:val="0"/>
          <w:i w:val="0"/>
          <w:sz w:val="22"/>
          <w:u w:val="none"/>
        </w:rPr>
        <w:t>Imaging Technician — performs each directional step in the manufacturer manual (MAN-018-02) and study-specific manual (MAN-018-01) in the exact order specified, without combining or skipping steps.</w:t>
      </w:r>
    </w:p>
    <w:p>
      <w:pPr>
        <w:tabs>
          <w:tab w:pos="1296" w:val="left"/>
        </w:tabs>
        <w:spacing w:after="80"/>
        <w:ind w:left="1296" w:hanging="576"/>
      </w:pPr>
      <w:r>
        <w:rPr>
          <w:rFonts w:ascii="Calibri" w:hAnsi="Calibri" w:cs="Calibri"/>
          <w:b w:val="0"/>
          <w:i w:val="0"/>
          <w:sz w:val="22"/>
          <w:u w:val="none"/>
        </w:rPr>
        <w:t>5.2</w:t>
        <w:tab/>
      </w:r>
      <w:r>
        <w:rPr>
          <w:rFonts w:ascii="Calibri" w:hAnsi="Calibri" w:cs="Calibri"/>
          <w:b w:val="0"/>
          <w:i w:val="0"/>
          <w:sz w:val="22"/>
          <w:u w:val="none"/>
        </w:rPr>
        <w:t>Imaging Technician — consults the study-specific Imaging Acquisition Manual and Documents first when a directional step or on-screen prompt is ambiguous.</w:t>
      </w:r>
    </w:p>
    <w:p>
      <w:pPr>
        <w:tabs>
          <w:tab w:pos="1296" w:val="left"/>
        </w:tabs>
        <w:spacing w:after="80"/>
        <w:ind w:left="1296" w:hanging="576"/>
      </w:pPr>
      <w:r>
        <w:rPr>
          <w:rFonts w:ascii="Calibri" w:hAnsi="Calibri" w:cs="Calibri"/>
          <w:b w:val="0"/>
          <w:i w:val="0"/>
          <w:sz w:val="22"/>
          <w:u w:val="none"/>
        </w:rPr>
        <w:t>5.3</w:t>
        <w:tab/>
      </w:r>
      <w:r>
        <w:rPr>
          <w:rFonts w:ascii="Calibri" w:hAnsi="Calibri" w:cs="Calibri"/>
          <w:b w:val="0"/>
          <w:i w:val="0"/>
          <w:sz w:val="22"/>
          <w:u w:val="none"/>
        </w:rPr>
        <w:t>Imaging Technician — submits a support request via the NORC Site Portal Help tab Contact Support section when ambiguity remains unresolved after consulting the study-specific manual.</w:t>
      </w:r>
    </w:p>
    <w:p>
      <w:pPr>
        <w:tabs>
          <w:tab w:pos="1296" w:val="left"/>
        </w:tabs>
        <w:spacing w:after="80"/>
        <w:ind w:left="1296" w:hanging="576"/>
      </w:pPr>
      <w:r>
        <w:rPr>
          <w:rFonts w:ascii="Calibri" w:hAnsi="Calibri" w:cs="Calibri"/>
          <w:b w:val="0"/>
          <w:i w:val="0"/>
          <w:sz w:val="22"/>
          <w:u w:val="none"/>
        </w:rPr>
        <w:t>5.4</w:t>
        <w:tab/>
      </w:r>
      <w:r>
        <w:rPr>
          <w:rFonts w:ascii="Calibri" w:hAnsi="Calibri" w:cs="Calibri"/>
          <w:b w:val="0"/>
          <w:i w:val="0"/>
          <w:sz w:val="22"/>
          <w:u w:val="none"/>
        </w:rPr>
        <w:t>Site Coordinator — confirms completion of the first eye's scan before instructing the Imaging Technician to proceed to the opposite eye, per MAN-018-02.</w:t>
      </w:r>
    </w:p>
    <w:p>
      <w:pPr>
        <w:tabs>
          <w:tab w:pos="1296" w:val="left"/>
        </w:tabs>
        <w:spacing w:after="80"/>
        <w:ind w:left="1296" w:hanging="576"/>
      </w:pPr>
      <w:r>
        <w:rPr>
          <w:rFonts w:ascii="Calibri" w:hAnsi="Calibri" w:cs="Calibri"/>
          <w:b w:val="0"/>
          <w:i w:val="0"/>
          <w:sz w:val="22"/>
          <w:u w:val="none"/>
        </w:rPr>
        <w:t>5.5</w:t>
        <w:tab/>
      </w:r>
      <w:r>
        <w:rPr>
          <w:rFonts w:ascii="Calibri" w:hAnsi="Calibri" w:cs="Calibri"/>
          <w:b w:val="0"/>
          <w:i w:val="0"/>
          <w:sz w:val="22"/>
          <w:u w:val="none"/>
        </w:rPr>
        <w:t>Quality Assurance Reviewer — reviews audit trails per SOP-017 to verify that directional steps were followed in sequence and that deviations, if any, were documented and escalated appropriately.</w:t>
      </w:r>
    </w:p>
    <w:p>
      <w:pPr>
        <w:tabs>
          <w:tab w:pos="1296" w:val="left"/>
        </w:tabs>
        <w:spacing w:after="80"/>
        <w:ind w:left="1296" w:hanging="576"/>
      </w:pPr>
      <w:r>
        <w:rPr>
          <w:rFonts w:ascii="Calibri" w:hAnsi="Calibri" w:cs="Calibri"/>
          <w:b w:val="0"/>
          <w:i w:val="0"/>
          <w:sz w:val="22"/>
          <w:u w:val="none"/>
        </w:rPr>
        <w:t>5.6</w:t>
        <w:tab/>
      </w:r>
      <w:r>
        <w:rPr>
          <w:rFonts w:ascii="Calibri" w:hAnsi="Calibri" w:cs="Calibri"/>
          <w:b w:val="0"/>
          <w:i w:val="0"/>
          <w:sz w:val="22"/>
          <w:u w:val="none"/>
        </w:rPr>
        <w:t>Study Support Staff — responds to Contact Support messages submitted through the NORC Site Portal and provides clarification on ambiguous directional steps.</w:t>
      </w:r>
    </w:p>
    <w:p>
      <w:pPr>
        <w:keepNext/>
        <w:tabs>
          <w:tab w:pos="504" w:val="left"/>
        </w:tabs>
        <w:spacing w:before="160" w:after="80"/>
      </w:pPr>
      <w:r>
        <w:rPr>
          <w:rFonts w:ascii="Calibri" w:hAnsi="Calibri" w:cs="Calibri"/>
          <w:b/>
          <w:i w:val="0"/>
          <w:sz w:val="22"/>
          <w:u w:val="none"/>
        </w:rPr>
        <w:t>6</w:t>
      </w:r>
      <w:r>
        <w:rPr>
          <w:rFonts w:ascii="Calibri" w:hAnsi="Calibri" w:cs="Calibri"/>
          <w:b/>
          <w:i w:val="0"/>
          <w:sz w:val="22"/>
          <w:u w:val="none"/>
        </w:rPr>
        <w:tab/>
      </w:r>
      <w:r>
        <w:rPr>
          <w:rFonts w:ascii="Calibri" w:hAnsi="Calibri" w:cs="Calibri"/>
          <w:b/>
          <w:i w:val="0"/>
          <w:sz w:val="22"/>
          <w:u w:val="none"/>
        </w:rPr>
        <w:t>PROCEDURE</w:t>
      </w:r>
    </w:p>
    <w:p>
      <w:pPr>
        <w:tabs>
          <w:tab w:pos="1296" w:val="left"/>
        </w:tabs>
        <w:spacing w:after="80"/>
        <w:ind w:left="1296" w:hanging="576"/>
      </w:pPr>
      <w:r>
        <w:rPr>
          <w:rFonts w:ascii="Calibri" w:hAnsi="Calibri" w:cs="Calibri"/>
          <w:b w:val="0"/>
          <w:i w:val="0"/>
          <w:sz w:val="22"/>
          <w:u w:val="none"/>
        </w:rPr>
        <w:t>6.1</w:t>
        <w:tab/>
      </w:r>
      <w:r>
        <w:rPr>
          <w:rFonts w:ascii="Calibri" w:hAnsi="Calibri" w:cs="Calibri"/>
          <w:b w:val="0"/>
          <w:i w:val="0"/>
          <w:sz w:val="22"/>
          <w:u w:val="none"/>
        </w:rPr>
        <w:t>The Imaging Technician reads the current step of the applicable manual (e.g., MAN-018-02) in full before performing any action.</w:t>
      </w:r>
    </w:p>
    <w:p>
      <w:pPr>
        <w:tabs>
          <w:tab w:pos="1296" w:val="left"/>
        </w:tabs>
        <w:spacing w:after="80"/>
        <w:ind w:left="1296" w:hanging="576"/>
      </w:pPr>
      <w:r>
        <w:rPr>
          <w:rFonts w:ascii="Calibri" w:hAnsi="Calibri" w:cs="Calibri"/>
          <w:b w:val="0"/>
          <w:i w:val="0"/>
          <w:sz w:val="22"/>
          <w:u w:val="none"/>
        </w:rPr>
        <w:t>6.2</w:t>
        <w:tab/>
      </w:r>
      <w:r>
        <w:rPr>
          <w:rFonts w:ascii="Calibri" w:hAnsi="Calibri" w:cs="Calibri"/>
          <w:b w:val="0"/>
          <w:i w:val="0"/>
          <w:sz w:val="22"/>
          <w:u w:val="none"/>
        </w:rPr>
        <w:t>The Imaging Technician completes one action per step before proceeding to the next step.</w:t>
      </w:r>
    </w:p>
    <w:p>
      <w:pPr>
        <w:tabs>
          <w:tab w:pos="1296" w:val="left"/>
        </w:tabs>
        <w:spacing w:after="80"/>
        <w:ind w:left="1296" w:hanging="576"/>
      </w:pPr>
      <w:r>
        <w:rPr>
          <w:rFonts w:ascii="Calibri" w:hAnsi="Calibri" w:cs="Calibri"/>
          <w:b w:val="0"/>
          <w:i w:val="0"/>
          <w:sz w:val="22"/>
          <w:u w:val="none"/>
        </w:rPr>
        <w:t>6.3</w:t>
        <w:tab/>
      </w:r>
      <w:r>
        <w:rPr>
          <w:rFonts w:ascii="Calibri" w:hAnsi="Calibri" w:cs="Calibri"/>
          <w:b w:val="0"/>
          <w:i w:val="0"/>
          <w:sz w:val="22"/>
          <w:u w:val="none"/>
        </w:rPr>
        <w:t>The Imaging Technician does not combine or skip steps listed in the manual.</w:t>
      </w:r>
    </w:p>
    <w:p>
      <w:pPr>
        <w:tabs>
          <w:tab w:pos="1296" w:val="left"/>
        </w:tabs>
        <w:spacing w:after="80"/>
        <w:ind w:left="1296" w:hanging="576"/>
      </w:pPr>
      <w:r>
        <w:rPr>
          <w:rFonts w:ascii="Calibri" w:hAnsi="Calibri" w:cs="Calibri"/>
          <w:b w:val="0"/>
          <w:i w:val="0"/>
          <w:sz w:val="22"/>
          <w:u w:val="none"/>
        </w:rPr>
        <w:t>6.4</w:t>
        <w:tab/>
      </w:r>
      <w:r>
        <w:rPr>
          <w:rFonts w:ascii="Calibri" w:hAnsi="Calibri" w:cs="Calibri"/>
          <w:b w:val="0"/>
          <w:i w:val="0"/>
          <w:sz w:val="22"/>
          <w:u w:val="none"/>
        </w:rPr>
        <w:t>The Imaging Technician verifies that the current step is complete before advancing to the subsequent step.</w:t>
      </w:r>
    </w:p>
    <w:p>
      <w:pPr>
        <w:tabs>
          <w:tab w:pos="1296" w:val="left"/>
        </w:tabs>
        <w:spacing w:after="80"/>
        <w:ind w:left="1296" w:hanging="576"/>
      </w:pPr>
      <w:r>
        <w:rPr>
          <w:rFonts w:ascii="Calibri" w:hAnsi="Calibri" w:cs="Calibri"/>
          <w:b w:val="0"/>
          <w:i w:val="0"/>
          <w:sz w:val="22"/>
          <w:u w:val="none"/>
        </w:rPr>
        <w:t>6.5</w:t>
        <w:tab/>
      </w:r>
      <w:r>
        <w:rPr>
          <w:rFonts w:ascii="Calibri" w:hAnsi="Calibri" w:cs="Calibri"/>
          <w:b w:val="0"/>
          <w:i w:val="0"/>
          <w:sz w:val="22"/>
          <w:u w:val="none"/>
        </w:rPr>
        <w:t>If the visit requires scanning both eyes, the Imaging Technician confirms that the first eye's scan is complete before repeating the applicable acquisition steps for the opposite eye, per MAN-018-02.</w:t>
      </w:r>
    </w:p>
    <w:p>
      <w:pPr>
        <w:tabs>
          <w:tab w:pos="1296" w:val="left"/>
        </w:tabs>
        <w:spacing w:after="80"/>
        <w:ind w:left="1296" w:hanging="576"/>
      </w:pPr>
      <w:r>
        <w:rPr>
          <w:rFonts w:ascii="Calibri" w:hAnsi="Calibri" w:cs="Calibri"/>
          <w:b w:val="0"/>
          <w:i w:val="0"/>
          <w:sz w:val="22"/>
          <w:u w:val="none"/>
        </w:rPr>
        <w:t>6.6</w:t>
        <w:tab/>
      </w:r>
      <w:r>
        <w:rPr>
          <w:rFonts w:ascii="Calibri" w:hAnsi="Calibri" w:cs="Calibri"/>
          <w:b w:val="0"/>
          <w:i w:val="0"/>
          <w:sz w:val="22"/>
          <w:u w:val="none"/>
        </w:rPr>
        <w:t>When a directional step or on-screen prompt is ambiguous, the Imaging Technician consults the study-specific Imaging Acquisition Manual and Documents (MAN-018-01) before referring to general FAQ content.</w:t>
      </w:r>
    </w:p>
    <w:p>
      <w:pPr>
        <w:tabs>
          <w:tab w:pos="1296" w:val="left"/>
        </w:tabs>
        <w:spacing w:after="80"/>
        <w:ind w:left="1296" w:hanging="576"/>
      </w:pPr>
      <w:r>
        <w:rPr>
          <w:rFonts w:ascii="Calibri" w:hAnsi="Calibri" w:cs="Calibri"/>
          <w:b w:val="0"/>
          <w:i w:val="0"/>
          <w:sz w:val="22"/>
          <w:u w:val="none"/>
        </w:rPr>
        <w:t>6.7</w:t>
        <w:tab/>
      </w:r>
      <w:r>
        <w:rPr>
          <w:rFonts w:ascii="Calibri" w:hAnsi="Calibri" w:cs="Calibri"/>
          <w:b w:val="0"/>
          <w:i w:val="0"/>
          <w:sz w:val="22"/>
          <w:u w:val="none"/>
        </w:rPr>
        <w:t>If ambiguity remains after consulting the study-specific manual, the Imaging Technician opens the Help tab in the NORC Site Portal and accesses the Contact Support section.</w:t>
      </w:r>
    </w:p>
    <w:p>
      <w:pPr>
        <w:tabs>
          <w:tab w:pos="1296" w:val="left"/>
        </w:tabs>
        <w:spacing w:after="80"/>
        <w:ind w:left="1296" w:hanging="576"/>
      </w:pPr>
      <w:r>
        <w:rPr>
          <w:rFonts w:ascii="Calibri" w:hAnsi="Calibri" w:cs="Calibri"/>
          <w:b w:val="0"/>
          <w:i w:val="0"/>
          <w:sz w:val="22"/>
          <w:u w:val="none"/>
        </w:rPr>
        <w:t>6.8</w:t>
        <w:tab/>
      </w:r>
      <w:r>
        <w:rPr>
          <w:rFonts w:ascii="Calibri" w:hAnsi="Calibri" w:cs="Calibri"/>
          <w:b w:val="0"/>
          <w:i w:val="0"/>
          <w:sz w:val="22"/>
          <w:u w:val="none"/>
        </w:rPr>
        <w:t>The Imaging Technician enters a clear description of the question or issue in the Message text area of the Contact Support form.</w:t>
      </w:r>
    </w:p>
    <w:p>
      <w:pPr>
        <w:tabs>
          <w:tab w:pos="1296" w:val="left"/>
        </w:tabs>
        <w:spacing w:after="80"/>
        <w:ind w:left="1296" w:hanging="576"/>
      </w:pPr>
      <w:r>
        <w:rPr>
          <w:rFonts w:ascii="Calibri" w:hAnsi="Calibri" w:cs="Calibri"/>
          <w:b w:val="0"/>
          <w:i w:val="0"/>
          <w:sz w:val="22"/>
          <w:u w:val="none"/>
        </w:rPr>
        <w:t>6.9</w:t>
        <w:tab/>
      </w:r>
      <w:r>
        <w:rPr>
          <w:rFonts w:ascii="Calibri" w:hAnsi="Calibri" w:cs="Calibri"/>
          <w:b w:val="0"/>
          <w:i w:val="0"/>
          <w:sz w:val="22"/>
          <w:u w:val="none"/>
        </w:rPr>
        <w:t>The Imaging Technician awaits a response from Study Support Staff before proceeding with the ambiguous step, unless otherwise instructed.</w:t>
      </w:r>
    </w:p>
    <w:p>
      <w:pPr>
        <w:tabs>
          <w:tab w:pos="1296" w:val="left"/>
        </w:tabs>
        <w:spacing w:after="80"/>
        <w:ind w:left="1296" w:hanging="576"/>
      </w:pPr>
      <w:r>
        <w:rPr>
          <w:rFonts w:ascii="Calibri" w:hAnsi="Calibri" w:cs="Calibri"/>
          <w:b w:val="0"/>
          <w:i w:val="0"/>
          <w:sz w:val="22"/>
          <w:u w:val="none"/>
        </w:rPr>
        <w:t>6.10</w:t>
        <w:tab/>
      </w:r>
      <w:r>
        <w:rPr>
          <w:rFonts w:ascii="Calibri" w:hAnsi="Calibri" w:cs="Calibri"/>
          <w:b w:val="0"/>
          <w:i w:val="0"/>
          <w:sz w:val="22"/>
          <w:u w:val="none"/>
        </w:rPr>
        <w:t>The Imaging Technician documents any deviation from the prescribed sequence of directional steps in the site's records for later audit trail review, per SOP-017.</w:t>
      </w:r>
    </w:p>
    <w:p>
      <w:pPr>
        <w:tabs>
          <w:tab w:pos="1296" w:val="left"/>
        </w:tabs>
        <w:spacing w:after="80"/>
        <w:ind w:left="1296" w:hanging="576"/>
      </w:pPr>
      <w:r>
        <w:rPr>
          <w:rFonts w:ascii="Calibri" w:hAnsi="Calibri" w:cs="Calibri"/>
          <w:b w:val="0"/>
          <w:i w:val="0"/>
          <w:sz w:val="22"/>
          <w:u w:val="none"/>
        </w:rPr>
        <w:t>6.11</w:t>
        <w:tab/>
      </w:r>
      <w:r>
        <w:rPr>
          <w:rFonts w:ascii="Calibri" w:hAnsi="Calibri" w:cs="Calibri"/>
          <w:b w:val="0"/>
          <w:i w:val="0"/>
          <w:sz w:val="22"/>
          <w:u w:val="none"/>
        </w:rPr>
        <w:t>The Quality Assurance Reviewer periodically reviews completed procedures against this SOP to confirm adherence to sequential step execution, per SOP-017.</w:t>
      </w:r>
    </w:p>
    <w:p>
      <w:pPr>
        <w:spacing w:before="240"/>
      </w:pPr>
      <w:r>
        <w:rPr>
          <w:rFonts w:ascii="Calibri" w:hAnsi="Calibri" w:cs="Calibri"/>
          <w:b/>
          <w:i w:val="0"/>
          <w:sz w:val="22"/>
          <w:u w:val="none"/>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jc w:val="center"/>
            </w:pPr>
            <w:r/>
            <w:r>
              <w:rPr>
                <w:rFonts w:ascii="Calibri" w:hAnsi="Calibri" w:cs="Calibri"/>
                <w:b/>
                <w:i w:val="0"/>
                <w:sz w:val="22"/>
                <w:u w:val="none"/>
              </w:rPr>
              <w:t>Version Number</w:t>
            </w:r>
          </w:p>
        </w:tc>
        <w:tc>
          <w:tcPr>
            <w:tcW w:type="dxa" w:w="3120"/>
            <w:shd w:val="clear" w:fill="D9D9D9"/>
          </w:tcPr>
          <w:p>
            <w:pPr>
              <w:spacing w:after="20" w:before="20"/>
              <w:jc w:val="center"/>
            </w:pPr>
            <w:r/>
            <w:r>
              <w:rPr>
                <w:rFonts w:ascii="Calibri" w:hAnsi="Calibri" w:cs="Calibri"/>
                <w:b/>
                <w:i w:val="0"/>
                <w:sz w:val="22"/>
                <w:u w:val="none"/>
              </w:rPr>
              <w:t>Date</w:t>
            </w:r>
          </w:p>
        </w:tc>
        <w:tc>
          <w:tcPr>
            <w:tcW w:type="dxa" w:w="3120"/>
            <w:shd w:val="clear" w:fill="D9D9D9"/>
          </w:tcPr>
          <w:p>
            <w:pPr>
              <w:spacing w:after="20" w:before="20"/>
              <w:jc w:val="center"/>
            </w:pPr>
            <w:r/>
            <w:r>
              <w:rPr>
                <w:rFonts w:ascii="Calibri" w:hAnsi="Calibri" w:cs="Calibri"/>
                <w:b/>
                <w:i w:val="0"/>
                <w:sz w:val="22"/>
                <w:u w:val="none"/>
              </w:rPr>
              <w:t>Summary of Change(s)</w:t>
            </w:r>
          </w:p>
        </w:tc>
      </w:tr>
      <w:tr>
        <w:tc>
          <w:tcPr>
            <w:tcW w:type="dxa" w:w="3120"/>
          </w:tcPr>
          <w:p>
            <w:pPr>
              <w:spacing w:after="20" w:before="20"/>
              <w:jc w:val="center"/>
            </w:pPr>
            <w:r/>
            <w:r>
              <w:rPr>
                <w:rFonts w:ascii="Calibri" w:hAnsi="Calibri" w:cs="Calibri"/>
                <w:b w:val="0"/>
                <w:i w:val="0"/>
                <w:sz w:val="22"/>
                <w:u w:val="none"/>
              </w:rPr>
              <w:t>01</w:t>
            </w:r>
          </w:p>
        </w:tc>
        <w:tc>
          <w:tcPr>
            <w:tcW w:type="dxa" w:w="3120"/>
          </w:tcPr>
          <w:p>
            <w:pPr>
              <w:spacing w:after="20" w:before="20"/>
              <w:jc w:val="center"/>
            </w:pPr>
            <w:r/>
            <w:r>
              <w:rPr>
                <w:rFonts w:ascii="Calibri" w:hAnsi="Calibri" w:cs="Calibri"/>
                <w:b w:val="0"/>
                <w:i w:val="0"/>
                <w:sz w:val="22"/>
                <w:u w:val="none"/>
              </w:rPr>
              <w:t>18-SEP-2026</w:t>
            </w:r>
          </w:p>
        </w:tc>
        <w:tc>
          <w:tcPr>
            <w:tcW w:type="dxa" w:w="3120"/>
          </w:tcPr>
          <w:p>
            <w:pPr>
              <w:spacing w:after="20" w:before="20"/>
            </w:pPr>
            <w:r/>
            <w:r>
              <w:rPr>
                <w:rFonts w:ascii="Calibri" w:hAnsi="Calibri" w:cs="Calibri"/>
                <w:b w:val="0"/>
                <w:i w:val="0"/>
                <w:sz w:val="22"/>
                <w:u w:val="none"/>
              </w:rPr>
              <w:t>Initial draft (pending QA approval)</w:t>
            </w:r>
          </w:p>
        </w:tc>
      </w:tr>
    </w:tbl>
    <w:p>
      <w:r>
        <w:br w:type="page"/>
      </w:r>
    </w:p>
    <w:p>
      <w:r>
        <w:rPr>
          <w:rFonts w:ascii="Calibri" w:hAnsi="Calibri" w:cs="Calibri"/>
          <w:b/>
          <w:i w:val="0"/>
          <w:sz w:val="22"/>
          <w:u w:val="none"/>
        </w:rPr>
        <w:t>SIGNATURE PAGE</w:t>
      </w:r>
    </w:p>
    <w:p>
      <w:r>
        <w:rPr>
          <w:rFonts w:ascii="Calibri" w:hAnsi="Calibri" w:cs="Calibri"/>
          <w:b w:val="0"/>
          <w:i w:val="0"/>
          <w:sz w:val="22"/>
          <w:u w:val="none"/>
        </w:rPr>
        <w:t>[ADD ADDITIONAL ROWS AS NEEDED]</w:t>
      </w:r>
    </w:p>
    <w:p>
      <w:pPr>
        <w:spacing w:before="160"/>
      </w:pPr>
      <w:r>
        <w:rPr>
          <w:rFonts w:ascii="Calibri" w:hAnsi="Calibri" w:cs="Calibri"/>
          <w:b w:val="0"/>
          <w:i w:val="0"/>
          <w:sz w:val="22"/>
          <w:u w:val="none"/>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sz w:val="22"/>
                <w:u w:val="none"/>
              </w:rPr>
              <w:t>NAME</w:t>
            </w:r>
          </w:p>
        </w:tc>
        <w:tc>
          <w:tcPr>
            <w:tcW w:type="dxa" w:w="2340"/>
            <w:shd w:val="clear" w:fill="D9D9D9"/>
          </w:tcPr>
          <w:p>
            <w:pPr>
              <w:spacing w:after="20" w:before="20"/>
            </w:pPr>
            <w:r/>
            <w:r>
              <w:rPr>
                <w:rFonts w:ascii="Calibri" w:hAnsi="Calibri" w:cs="Calibri"/>
                <w:b/>
                <w:i w:val="0"/>
                <w:sz w:val="22"/>
                <w:u w:val="none"/>
              </w:rPr>
              <w:t>TITLE</w:t>
            </w:r>
          </w:p>
        </w:tc>
        <w:tc>
          <w:tcPr>
            <w:tcW w:type="dxa" w:w="2340"/>
            <w:shd w:val="clear" w:fill="D9D9D9"/>
          </w:tcPr>
          <w:p>
            <w:pPr>
              <w:spacing w:after="20" w:before="20"/>
            </w:pPr>
            <w:r/>
            <w:r>
              <w:rPr>
                <w:rFonts w:ascii="Calibri" w:hAnsi="Calibri" w:cs="Calibri"/>
                <w:b/>
                <w:i w:val="0"/>
                <w:sz w:val="22"/>
                <w:u w:val="none"/>
              </w:rPr>
              <w:t>SIGNATURE</w:t>
            </w:r>
          </w:p>
        </w:tc>
        <w:tc>
          <w:tcPr>
            <w:tcW w:type="dxa" w:w="2340"/>
            <w:shd w:val="clear" w:fill="D9D9D9"/>
          </w:tcPr>
          <w:p>
            <w:pPr>
              <w:spacing w:after="20" w:before="20"/>
            </w:pPr>
            <w:r/>
            <w:r>
              <w:rPr>
                <w:rFonts w:ascii="Calibri" w:hAnsi="Calibri" w:cs="Calibri"/>
                <w:b/>
                <w:i w:val="0"/>
                <w:sz w:val="22"/>
                <w:u w:val="none"/>
              </w:rPr>
              <w:t>DATE</w:t>
            </w:r>
          </w:p>
        </w:tc>
      </w:tr>
      <w:tr>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r>
    </w:tbl>
    <w:p>
      <w:pPr>
        <w:spacing w:before="160"/>
      </w:pPr>
      <w:r>
        <w:rPr>
          <w:rFonts w:ascii="Calibri" w:hAnsi="Calibri" w:cs="Calibri"/>
          <w:b w:val="0"/>
          <w:i w:val="0"/>
          <w:sz w:val="22"/>
          <w:u w:val="none"/>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sz w:val="22"/>
                <w:u w:val="none"/>
              </w:rPr>
              <w:t>NAME</w:t>
            </w:r>
          </w:p>
        </w:tc>
        <w:tc>
          <w:tcPr>
            <w:tcW w:type="dxa" w:w="2340"/>
            <w:shd w:val="clear" w:fill="D9D9D9"/>
          </w:tcPr>
          <w:p>
            <w:pPr>
              <w:spacing w:after="20" w:before="20"/>
            </w:pPr>
            <w:r/>
            <w:r>
              <w:rPr>
                <w:rFonts w:ascii="Calibri" w:hAnsi="Calibri" w:cs="Calibri"/>
                <w:b/>
                <w:i w:val="0"/>
                <w:sz w:val="22"/>
                <w:u w:val="none"/>
              </w:rPr>
              <w:t>TITLE</w:t>
            </w:r>
          </w:p>
        </w:tc>
        <w:tc>
          <w:tcPr>
            <w:tcW w:type="dxa" w:w="2340"/>
            <w:shd w:val="clear" w:fill="D9D9D9"/>
          </w:tcPr>
          <w:p>
            <w:pPr>
              <w:spacing w:after="20" w:before="20"/>
            </w:pPr>
            <w:r/>
            <w:r>
              <w:rPr>
                <w:rFonts w:ascii="Calibri" w:hAnsi="Calibri" w:cs="Calibri"/>
                <w:b/>
                <w:i w:val="0"/>
                <w:sz w:val="22"/>
                <w:u w:val="none"/>
              </w:rPr>
              <w:t>SIGNATURE</w:t>
            </w:r>
          </w:p>
        </w:tc>
        <w:tc>
          <w:tcPr>
            <w:tcW w:type="dxa" w:w="2340"/>
            <w:shd w:val="clear" w:fill="D9D9D9"/>
          </w:tcPr>
          <w:p>
            <w:pPr>
              <w:spacing w:after="20" w:before="20"/>
            </w:pPr>
            <w:r/>
            <w:r>
              <w:rPr>
                <w:rFonts w:ascii="Calibri" w:hAnsi="Calibri" w:cs="Calibri"/>
                <w:b/>
                <w:i w:val="0"/>
                <w:sz w:val="22"/>
                <w:u w:val="none"/>
              </w:rPr>
              <w:t>DATE</w:t>
            </w:r>
          </w:p>
        </w:tc>
      </w:tr>
      <w:tr>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r>
    </w:tbl>
    <w:p>
      <w:pPr>
        <w:spacing w:before="160"/>
      </w:pPr>
      <w:r>
        <w:rPr>
          <w:rFonts w:ascii="Calibri" w:hAnsi="Calibri" w:cs="Calibri"/>
          <w:b w:val="0"/>
          <w:i w:val="0"/>
          <w:sz w:val="22"/>
          <w:u w:val="none"/>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sz w:val="22"/>
                <w:u w:val="none"/>
              </w:rPr>
              <w:t>NAME</w:t>
            </w:r>
          </w:p>
        </w:tc>
        <w:tc>
          <w:tcPr>
            <w:tcW w:type="dxa" w:w="2340"/>
            <w:shd w:val="clear" w:fill="D9D9D9"/>
          </w:tcPr>
          <w:p>
            <w:pPr>
              <w:spacing w:after="20" w:before="20"/>
            </w:pPr>
            <w:r/>
            <w:r>
              <w:rPr>
                <w:rFonts w:ascii="Calibri" w:hAnsi="Calibri" w:cs="Calibri"/>
                <w:b/>
                <w:i w:val="0"/>
                <w:sz w:val="22"/>
                <w:u w:val="none"/>
              </w:rPr>
              <w:t>TITLE</w:t>
            </w:r>
          </w:p>
        </w:tc>
        <w:tc>
          <w:tcPr>
            <w:tcW w:type="dxa" w:w="2340"/>
            <w:shd w:val="clear" w:fill="D9D9D9"/>
          </w:tcPr>
          <w:p>
            <w:pPr>
              <w:spacing w:after="20" w:before="20"/>
            </w:pPr>
            <w:r/>
            <w:r>
              <w:rPr>
                <w:rFonts w:ascii="Calibri" w:hAnsi="Calibri" w:cs="Calibri"/>
                <w:b/>
                <w:i w:val="0"/>
                <w:sz w:val="22"/>
                <w:u w:val="none"/>
              </w:rPr>
              <w:t>SIGNATURE</w:t>
            </w:r>
          </w:p>
        </w:tc>
        <w:tc>
          <w:tcPr>
            <w:tcW w:type="dxa" w:w="2340"/>
            <w:shd w:val="clear" w:fill="D9D9D9"/>
          </w:tcPr>
          <w:p>
            <w:pPr>
              <w:spacing w:after="20" w:before="20"/>
            </w:pPr>
            <w:r/>
            <w:r>
              <w:rPr>
                <w:rFonts w:ascii="Calibri" w:hAnsi="Calibri" w:cs="Calibri"/>
                <w:b/>
                <w:i w:val="0"/>
                <w:sz w:val="22"/>
                <w:u w:val="none"/>
              </w:rPr>
              <w:t>DATE</w:t>
            </w:r>
          </w:p>
        </w:tc>
      </w:tr>
      <w:tr>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c>
          <w:tcPr>
            <w:tcW w:type="dxa" w:w="2340"/>
          </w:tcPr>
          <w:p>
            <w:pPr>
              <w:spacing w:after="20" w:before="20"/>
            </w:pPr>
            <w:r/>
            <w:r>
              <w:rPr>
                <w:rFonts w:ascii="Calibri" w:hAnsi="Calibri" w:cs="Calibri"/>
                <w:b w:val="0"/>
                <w:i w:val="0"/>
                <w:sz w:val="22"/>
                <w:u w:val="none"/>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sz w:val="18"/>
        <w:u w:val="none"/>
      </w:rPr>
      <w:t>THIS DOCUMENT CONTAINS CONFIDENTIAL AND PROPRIETARY INFORMATION</w:t>
    </w:r>
  </w:p>
  <w:p>
    <w:pPr>
      <w:jc w:val="right"/>
    </w:pPr>
    <w:r>
      <w:rPr>
        <w:rFonts w:ascii="Calibri" w:hAnsi="Calibri" w:cs="Calibri"/>
        <w:b w:val="0"/>
        <w:i w:val="0"/>
        <w:sz w:val="22"/>
        <w:u w:val="none"/>
      </w:rPr>
      <w:t xml:space="preserve">Page </w:t>
    </w:r>
    <w:r>
      <w:rPr>
        <w:rFonts w:ascii="Calibri" w:hAnsi="Calibri" w:cs="Calibri"/>
        <w:b w:val="0"/>
        <w:i w:val="0"/>
        <w:sz w:val="22"/>
        <w:u w:val="none"/>
      </w:rPr>
      <w:fldChar w:fldCharType="begin"/>
      <w:instrText xml:space="preserve">PAGE</w:instrText>
      <w:fldChar w:fldCharType="end"/>
    </w:r>
    <w:r>
      <w:rPr>
        <w:rFonts w:ascii="Calibri" w:hAnsi="Calibri" w:cs="Calibri"/>
        <w:b w:val="0"/>
        <w:i w:val="0"/>
        <w:sz w:val="22"/>
        <w:u w:val="none"/>
      </w:rPr>
      <w:t xml:space="preserve"> of </w:t>
    </w:r>
    <w:r>
      <w:rPr>
        <w:rFonts w:ascii="Calibri" w:hAnsi="Calibri" w:cs="Calibri"/>
        <w:b w:val="0"/>
        <w:i w:val="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680"/>
      <w:gridCol w:w="4680"/>
    </w:tblGrid>
    <w:tr>
      <w:tc>
        <w:tcPr>
          <w:tcW w:type="dxa" w:w="3312"/>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6048"/>
        </w:tc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tblGrid>
          <w:tr>
            <w:tc>
              <w:tcPr>
                <w:tcW w:type="dxa" w:w="5904"/>
                <w:gridSpan w:val="2"/>
              </w:tcPr>
              <w:p>
                <w:pPr>
                  <w:spacing w:after="20" w:before="20"/>
                  <w:jc w:val="center"/>
                </w:pPr>
                <w:r/>
                <w:r>
                  <w:rPr>
                    <w:rFonts w:ascii="Calibri" w:hAnsi="Calibri" w:cs="Calibri"/>
                    <w:b w:val="0"/>
                    <w:i w:val="0"/>
                    <w:sz w:val="20"/>
                    <w:u w:val="none"/>
                  </w:rPr>
                  <w:t>STANDARD OPERATING PROCEDURE</w:t>
                </w:r>
              </w:p>
            </w:tc>
          </w:tr>
          <w:tr>
            <w:tc>
              <w:tcPr>
                <w:tcW w:type="dxa" w:w="2304"/>
              </w:tcPr>
              <w:p>
                <w:pPr>
                  <w:spacing w:after="20" w:before="20"/>
                  <w:jc w:val="right"/>
                </w:pPr>
                <w:r/>
                <w:r>
                  <w:rPr>
                    <w:rFonts w:ascii="Calibri" w:hAnsi="Calibri" w:cs="Calibri"/>
                    <w:b w:val="0"/>
                    <w:i w:val="0"/>
                    <w:sz w:val="22"/>
                    <w:u w:val="none"/>
                  </w:rPr>
                  <w:t>Document Number:</w:t>
                </w:r>
              </w:p>
            </w:tc>
            <w:tc>
              <w:tcPr>
                <w:tcW w:type="dxa" w:w="3600"/>
              </w:tcPr>
              <w:p>
                <w:pPr>
                  <w:spacing w:after="20" w:before="20"/>
                </w:pPr>
                <w:r/>
                <w:r>
                  <w:rPr>
                    <w:rFonts w:ascii="Calibri" w:hAnsi="Calibri" w:cs="Calibri"/>
                    <w:b w:val="0"/>
                    <w:i w:val="0"/>
                    <w:sz w:val="22"/>
                    <w:u w:val="none"/>
                  </w:rPr>
                  <w:t>SOP-034</w:t>
                </w:r>
              </w:p>
            </w:tc>
          </w:tr>
          <w:tr>
            <w:tc>
              <w:tcPr>
                <w:tcW w:type="dxa" w:w="2304"/>
              </w:tcPr>
              <w:p>
                <w:pPr>
                  <w:spacing w:after="20" w:before="20"/>
                  <w:jc w:val="right"/>
                </w:pPr>
                <w:r/>
                <w:r>
                  <w:rPr>
                    <w:rFonts w:ascii="Calibri" w:hAnsi="Calibri" w:cs="Calibri"/>
                    <w:b w:val="0"/>
                    <w:i w:val="0"/>
                    <w:sz w:val="22"/>
                    <w:u w:val="none"/>
                  </w:rPr>
                  <w:t>Effective Date:</w:t>
                </w:r>
              </w:p>
            </w:tc>
            <w:tc>
              <w:tcPr>
                <w:tcW w:type="dxa" w:w="3600"/>
              </w:tcPr>
              <w:p>
                <w:pPr>
                  <w:spacing w:after="20" w:before="20"/>
                </w:pPr>
                <w:r/>
                <w:r>
                  <w:rPr>
                    <w:rFonts w:ascii="Calibri" w:hAnsi="Calibri" w:cs="Calibri"/>
                    <w:b w:val="0"/>
                    <w:i w:val="0"/>
                    <w:sz w:val="22"/>
                    <w:u w:val="none"/>
                  </w:rPr>
                  <w:t>[On approval]</w:t>
                </w:r>
              </w:p>
            </w:tc>
          </w:tr>
          <w:tr>
            <w:tc>
              <w:tcPr>
                <w:tcW w:type="dxa" w:w="2304"/>
              </w:tcPr>
              <w:p>
                <w:pPr>
                  <w:spacing w:after="20" w:before="20"/>
                  <w:jc w:val="right"/>
                </w:pPr>
                <w:r/>
                <w:r>
                  <w:rPr>
                    <w:rFonts w:ascii="Calibri" w:hAnsi="Calibri" w:cs="Calibri"/>
                    <w:b w:val="0"/>
                    <w:i w:val="0"/>
                    <w:sz w:val="22"/>
                    <w:u w:val="none"/>
                  </w:rPr>
                  <w:t>Version Number:</w:t>
                </w:r>
              </w:p>
            </w:tc>
            <w:tc>
              <w:tcPr>
                <w:tcW w:type="dxa" w:w="3600"/>
              </w:tcPr>
              <w:p>
                <w:pPr>
                  <w:spacing w:after="20" w:before="20"/>
                </w:pPr>
                <w:r/>
                <w:r>
                  <w:rPr>
                    <w:rFonts w:ascii="Calibri" w:hAnsi="Calibri" w:cs="Calibri"/>
                    <w:b w:val="0"/>
                    <w:i w:val="0"/>
                    <w:sz w:val="22"/>
                    <w:u w:val="none"/>
                  </w:rPr>
                  <w:t>01</w:t>
                </w:r>
              </w:p>
            </w:tc>
          </w:tr>
          <w:tr>
            <w:tc>
              <w:tcPr>
                <w:tcW w:type="dxa" w:w="2304"/>
              </w:tcPr>
              <w:p>
                <w:pPr>
                  <w:spacing w:after="20" w:before="20"/>
                  <w:jc w:val="right"/>
                </w:pPr>
                <w:r/>
                <w:r>
                  <w:rPr>
                    <w:rFonts w:ascii="Calibri" w:hAnsi="Calibri" w:cs="Calibri"/>
                    <w:b w:val="0"/>
                    <w:i w:val="0"/>
                    <w:sz w:val="22"/>
                    <w:u w:val="none"/>
                  </w:rPr>
                  <w:t>Page:</w:t>
                </w:r>
              </w:p>
            </w:tc>
            <w:tc>
              <w:tcPr>
                <w:tcW w:type="dxa" w:w="3600"/>
              </w:tcPr>
              <w:p>
                <w:r/>
                <w:r>
                  <w:rPr>
                    <w:rFonts w:ascii="Calibri" w:hAnsi="Calibri" w:cs="Calibri"/>
                    <w:b w:val="0"/>
                    <w:i w:val="0"/>
                    <w:sz w:val="22"/>
                    <w:u w:val="none"/>
                  </w:rPr>
                  <w:fldChar w:fldCharType="begin"/>
                  <w:instrText xml:space="preserve">PAGE</w:instrText>
                  <w:fldChar w:fldCharType="end"/>
                </w:r>
                <w:r>
                  <w:rPr>
                    <w:rFonts w:ascii="Calibri" w:hAnsi="Calibri" w:cs="Calibri"/>
                    <w:b w:val="0"/>
                    <w:i w:val="0"/>
                    <w:sz w:val="22"/>
                    <w:u w:val="none"/>
                  </w:rPr>
                  <w:t xml:space="preserve"> of </w:t>
                </w:r>
                <w:r>
                  <w:rPr>
                    <w:rFonts w:ascii="Calibri" w:hAnsi="Calibri" w:cs="Calibri"/>
                    <w:b w:val="0"/>
                    <w:i w:val="0"/>
                    <w:sz w:val="22"/>
                    <w:u w:val="none"/>
                  </w:rPr>
                  <w:fldChar w:fldCharType="begin"/>
                  <w:instrText xml:space="preserve">NUMPAGES</w:instrText>
                  <w:fldChar w:fldCharType="end"/>
                </w:r>
              </w:p>
            </w:tc>
          </w:tr>
        </w:tbl>
        <w:p/>
      </w:tc>
    </w:tr>
  </w:tbl>
  <w:p>
    <w:r>
      <w:rPr>
        <w:rFonts w:ascii="Calibri" w:hAnsi="Calibri" w:cs="Calibri"/>
        <w:b/>
        <w:i w:val="0"/>
        <w:sz w:val="22"/>
        <w:u w:val="none"/>
      </w:rPr>
      <w:t xml:space="preserve">Title: </w:t>
    </w:r>
    <w:r>
      <w:rPr>
        <w:rFonts w:ascii="Calibri" w:hAnsi="Calibri" w:cs="Calibri"/>
        <w:b/>
        <w:i w:val="0"/>
        <w:sz w:val="22"/>
        <w:u w:val="none"/>
      </w:rPr>
      <w:t>Following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