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Novelty of the research work: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were able to find the relation between the different geopolitical disasters and their impact on oil prices, whose further effect on emerging economies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Geopolitical turmoil → Oil price fluctuation →Spillover to stock market indices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got to check the relation between China and COVID-19 through this research. It is in accordance with the popular beliefs that COVID-19 did not affect the Chinese economy much. Such revelation wasn’t noticed in previous papers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Scope for Further Research: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wish to compare the effect of WTI Crude Oil as well, then compare the results with Brent Oil results to gauge which Oil COmmodity has a more profound spillover effect on the emerging countries.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also wish to include the Middle-Eastern countries, but the time frame of data for them is too less to consider it in our current study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Contribution: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Akshat: Data processing, Code, tables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Alben: Code and Graphs and processed data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Anish: Data, Results, Tables , Inferences and Conclusion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Anushka: Methodology, Formulae and Policy recommendations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Deeptanshu: Abstract, Introduction, Formulae, Processed data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