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1"/>
        <w:keepLines w:val="1"/>
        <w:widowControl w:val="0"/>
        <w:spacing w:after="200" w:lineRule="auto"/>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REFERENCES :</w:t>
      </w:r>
    </w:p>
    <w:p w:rsidR="00000000" w:rsidDel="00000000" w:rsidP="00000000" w:rsidRDefault="00000000" w:rsidRPr="00000000" w14:paraId="00000002">
      <w:pPr>
        <w:keepNext w:val="1"/>
        <w:keepLines w:val="1"/>
        <w:widowControl w:val="0"/>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Gong, X., Feng, Y., Liu, J., &amp; Xiong, X. (2023b). Study on international energy market and geopolitical risk contagion based on complex network. Resources Policy, 82, 103495. </w:t>
      </w:r>
      <w:hyperlink r:id="rId6">
        <w:r w:rsidDel="00000000" w:rsidR="00000000" w:rsidRPr="00000000">
          <w:rPr>
            <w:rFonts w:ascii="Georgia" w:cs="Georgia" w:eastAsia="Georgia" w:hAnsi="Georgia"/>
            <w:sz w:val="24"/>
            <w:szCs w:val="24"/>
            <w:u w:val="single"/>
            <w:rtl w:val="0"/>
          </w:rPr>
          <w:t xml:space="preserve">https://doi.org/10.1016/j.resourpol.2023.103495</w:t>
        </w:r>
      </w:hyperlink>
      <w:r w:rsidDel="00000000" w:rsidR="00000000" w:rsidRPr="00000000">
        <w:rPr>
          <w:rtl w:val="0"/>
        </w:rPr>
      </w:r>
    </w:p>
    <w:p w:rsidR="00000000" w:rsidDel="00000000" w:rsidP="00000000" w:rsidRDefault="00000000" w:rsidRPr="00000000" w14:paraId="00000003">
      <w:pPr>
        <w:keepNext w:val="1"/>
        <w:keepLines w:val="1"/>
        <w:widowControl w:val="0"/>
        <w:numPr>
          <w:ilvl w:val="0"/>
          <w:numId w:val="1"/>
        </w:numPr>
        <w:ind w:left="720" w:hanging="360"/>
        <w:jc w:val="both"/>
        <w:rPr>
          <w:rFonts w:ascii="Georgia" w:cs="Georgia" w:eastAsia="Georgia" w:hAnsi="Georgia"/>
          <w:sz w:val="24"/>
          <w:szCs w:val="24"/>
        </w:rPr>
      </w:pPr>
      <w:r w:rsidDel="00000000" w:rsidR="00000000" w:rsidRPr="00000000">
        <w:rPr>
          <w:rFonts w:ascii="Georgia" w:cs="Georgia" w:eastAsia="Georgia" w:hAnsi="Georgia"/>
          <w:i w:val="1"/>
          <w:sz w:val="24"/>
          <w:szCs w:val="24"/>
          <w:rtl w:val="0"/>
        </w:rPr>
        <w:t xml:space="preserve">Statistical Review of World Energy | Energy economics | Home</w:t>
      </w:r>
      <w:r w:rsidDel="00000000" w:rsidR="00000000" w:rsidRPr="00000000">
        <w:rPr>
          <w:rFonts w:ascii="Georgia" w:cs="Georgia" w:eastAsia="Georgia" w:hAnsi="Georgia"/>
          <w:sz w:val="24"/>
          <w:szCs w:val="24"/>
          <w:rtl w:val="0"/>
        </w:rPr>
        <w:t xml:space="preserve">. (n.d.). Bp Global. https://www.bp.com/en/global/corporate/energy-economics/statistical-review-of-world-energy.html</w:t>
      </w:r>
    </w:p>
    <w:p w:rsidR="00000000" w:rsidDel="00000000" w:rsidP="00000000" w:rsidRDefault="00000000" w:rsidRPr="00000000" w14:paraId="00000004">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Khan, M., Khan, M., Kayani, U. N., Mughal, K. S., &amp; Mumtaz, R. (2023b). Unveiling Market connectedness: Dynamic returns Spillovers in Asian emerging stock markets. International Journal of Financial Studies, 11(3), 112. </w:t>
      </w:r>
      <w:hyperlink r:id="rId7">
        <w:r w:rsidDel="00000000" w:rsidR="00000000" w:rsidRPr="00000000">
          <w:rPr>
            <w:rFonts w:ascii="Georgia" w:cs="Georgia" w:eastAsia="Georgia" w:hAnsi="Georgia"/>
            <w:sz w:val="24"/>
            <w:szCs w:val="24"/>
            <w:u w:val="single"/>
            <w:rtl w:val="0"/>
          </w:rPr>
          <w:t xml:space="preserve">https://doi.org/10.3390/ijfs11030112</w:t>
        </w:r>
      </w:hyperlink>
      <w:r w:rsidDel="00000000" w:rsidR="00000000" w:rsidRPr="00000000">
        <w:rPr>
          <w:rtl w:val="0"/>
        </w:rPr>
      </w:r>
    </w:p>
    <w:p w:rsidR="00000000" w:rsidDel="00000000" w:rsidP="00000000" w:rsidRDefault="00000000" w:rsidRPr="00000000" w14:paraId="00000005">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Cooper, Richard N., Kenneth J. Arrow, Rudiger Dornbusch, Yung Chul Park, Stijin Claessens, Deon Filmer, Jeffrey S. Hammer, Lant H. Pritchett, Michael Woolcock, Deepa Narayan, and et al. 2000. The World Bank research observer 15 (2). Policy, Research Working Paper; no. WPS 2463. Available online: </w:t>
      </w:r>
      <w:hyperlink r:id="rId8">
        <w:r w:rsidDel="00000000" w:rsidR="00000000" w:rsidRPr="00000000">
          <w:rPr>
            <w:rFonts w:ascii="Georgia" w:cs="Georgia" w:eastAsia="Georgia" w:hAnsi="Georgia"/>
            <w:sz w:val="24"/>
            <w:szCs w:val="24"/>
            <w:u w:val="single"/>
            <w:rtl w:val="0"/>
          </w:rPr>
          <w:t xml:space="preserve">https://documents1.worldbank.org/curated/ru/264171468320067686/pdf/multi-page.pdf</w:t>
        </w:r>
      </w:hyperlink>
      <w:r w:rsidDel="00000000" w:rsidR="00000000" w:rsidRPr="00000000">
        <w:rPr>
          <w:rtl w:val="0"/>
        </w:rPr>
      </w:r>
    </w:p>
    <w:p w:rsidR="00000000" w:rsidDel="00000000" w:rsidP="00000000" w:rsidRDefault="00000000" w:rsidRPr="00000000" w14:paraId="00000006">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Rasche, R. H., &amp; Tatom, J. A. (1977b). The effects of the new energy regime on economic capacity, production, and prices. Review, 59. </w:t>
      </w:r>
      <w:hyperlink r:id="rId9">
        <w:r w:rsidDel="00000000" w:rsidR="00000000" w:rsidRPr="00000000">
          <w:rPr>
            <w:rFonts w:ascii="Georgia" w:cs="Georgia" w:eastAsia="Georgia" w:hAnsi="Georgia"/>
            <w:sz w:val="24"/>
            <w:szCs w:val="24"/>
            <w:u w:val="single"/>
            <w:rtl w:val="0"/>
          </w:rPr>
          <w:t xml:space="preserve">https://doi.org/10.20955/r.59.2-12.cdy</w:t>
        </w:r>
      </w:hyperlink>
      <w:r w:rsidDel="00000000" w:rsidR="00000000" w:rsidRPr="00000000">
        <w:rPr>
          <w:rtl w:val="0"/>
        </w:rPr>
      </w:r>
    </w:p>
    <w:p w:rsidR="00000000" w:rsidDel="00000000" w:rsidP="00000000" w:rsidRDefault="00000000" w:rsidRPr="00000000" w14:paraId="00000007">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Bernanke, B. S., Gertler, M., Watson, M., Sims, C. A., &amp; Friedman, B. M. (1997). Systematic Monetary Policy and the Effects of Oil Price Shocks. Brookings Papers on Economic Activity, 1997(1), 91–157. </w:t>
      </w:r>
      <w:hyperlink r:id="rId10">
        <w:r w:rsidDel="00000000" w:rsidR="00000000" w:rsidRPr="00000000">
          <w:rPr>
            <w:rFonts w:ascii="Georgia" w:cs="Georgia" w:eastAsia="Georgia" w:hAnsi="Georgia"/>
            <w:sz w:val="24"/>
            <w:szCs w:val="24"/>
            <w:u w:val="single"/>
            <w:rtl w:val="0"/>
          </w:rPr>
          <w:t xml:space="preserve">https://doi.org/10.2307/2534702</w:t>
        </w:r>
      </w:hyperlink>
      <w:r w:rsidDel="00000000" w:rsidR="00000000" w:rsidRPr="00000000">
        <w:rPr>
          <w:rtl w:val="0"/>
        </w:rPr>
      </w:r>
    </w:p>
    <w:p w:rsidR="00000000" w:rsidDel="00000000" w:rsidP="00000000" w:rsidRDefault="00000000" w:rsidRPr="00000000" w14:paraId="00000008">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Abbott, K. (2007). Employment Relations: Integrating industrial relations and human resource management. ResearchGate. </w:t>
      </w:r>
      <w:hyperlink r:id="rId11">
        <w:r w:rsidDel="00000000" w:rsidR="00000000" w:rsidRPr="00000000">
          <w:rPr>
            <w:rFonts w:ascii="Georgia" w:cs="Georgia" w:eastAsia="Georgia" w:hAnsi="Georgia"/>
            <w:sz w:val="24"/>
            <w:szCs w:val="24"/>
            <w:u w:val="single"/>
            <w:rtl w:val="0"/>
          </w:rPr>
          <w:t xml:space="preserve">https://www.researchgate.net/publication/265752824_Employment_Relations_Integrating_Industrial_Relations_and_Human_Resource_Management</w:t>
        </w:r>
      </w:hyperlink>
      <w:r w:rsidDel="00000000" w:rsidR="00000000" w:rsidRPr="00000000">
        <w:rPr>
          <w:rtl w:val="0"/>
        </w:rPr>
      </w:r>
    </w:p>
    <w:p w:rsidR="00000000" w:rsidDel="00000000" w:rsidP="00000000" w:rsidRDefault="00000000" w:rsidRPr="00000000" w14:paraId="00000009">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Bernanke, B. (1983). Non-Monetary effects of the financial crisis in the propagation of the Great Depression. </w:t>
      </w:r>
      <w:hyperlink r:id="rId12">
        <w:r w:rsidDel="00000000" w:rsidR="00000000" w:rsidRPr="00000000">
          <w:rPr>
            <w:rFonts w:ascii="Georgia" w:cs="Georgia" w:eastAsia="Georgia" w:hAnsi="Georgia"/>
            <w:sz w:val="24"/>
            <w:szCs w:val="24"/>
            <w:u w:val="single"/>
            <w:rtl w:val="0"/>
          </w:rPr>
          <w:t xml:space="preserve">https://doi.org/10.3386/w1054</w:t>
        </w:r>
      </w:hyperlink>
      <w:r w:rsidDel="00000000" w:rsidR="00000000" w:rsidRPr="00000000">
        <w:rPr>
          <w:rtl w:val="0"/>
        </w:rPr>
      </w:r>
    </w:p>
    <w:p w:rsidR="00000000" w:rsidDel="00000000" w:rsidP="00000000" w:rsidRDefault="00000000" w:rsidRPr="00000000" w14:paraId="0000000A">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Tian, M., Alshater, M., &amp; Yoon, S. (2022). Dynamic Risk Spillovers from Oil to Stock Markets: Fresh Evidence from GARCH Copula Quantile Regression Based Covar Model. Social Science Research Network. </w:t>
      </w:r>
      <w:hyperlink r:id="rId13">
        <w:r w:rsidDel="00000000" w:rsidR="00000000" w:rsidRPr="00000000">
          <w:rPr>
            <w:rFonts w:ascii="Georgia" w:cs="Georgia" w:eastAsia="Georgia" w:hAnsi="Georgia"/>
            <w:sz w:val="24"/>
            <w:szCs w:val="24"/>
            <w:u w:val="single"/>
            <w:rtl w:val="0"/>
          </w:rPr>
          <w:t xml:space="preserve">https://doi.org/10.2139/ssrn.4084299</w:t>
        </w:r>
      </w:hyperlink>
      <w:r w:rsidDel="00000000" w:rsidR="00000000" w:rsidRPr="00000000">
        <w:rPr>
          <w:rtl w:val="0"/>
        </w:rPr>
      </w:r>
    </w:p>
    <w:p w:rsidR="00000000" w:rsidDel="00000000" w:rsidP="00000000" w:rsidRDefault="00000000" w:rsidRPr="00000000" w14:paraId="0000000B">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Jones, C. M., &amp; Kaul, G. (1996). Oil and the Stock Markets. The Journal of Finance, 51(2), 463–491. </w:t>
      </w:r>
      <w:hyperlink r:id="rId14">
        <w:r w:rsidDel="00000000" w:rsidR="00000000" w:rsidRPr="00000000">
          <w:rPr>
            <w:rFonts w:ascii="Georgia" w:cs="Georgia" w:eastAsia="Georgia" w:hAnsi="Georgia"/>
            <w:sz w:val="24"/>
            <w:szCs w:val="24"/>
            <w:u w:val="single"/>
            <w:rtl w:val="0"/>
          </w:rPr>
          <w:t xml:space="preserve">https://doi.org/10.1111/j.1540-6261.1996.tb02691.x</w:t>
        </w:r>
      </w:hyperlink>
      <w:r w:rsidDel="00000000" w:rsidR="00000000" w:rsidRPr="00000000">
        <w:rPr>
          <w:rtl w:val="0"/>
        </w:rPr>
      </w:r>
    </w:p>
    <w:p w:rsidR="00000000" w:rsidDel="00000000" w:rsidP="00000000" w:rsidRDefault="00000000" w:rsidRPr="00000000" w14:paraId="0000000C">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Anand B., Sunil Paul, Oil shocks and stock market: Revisiting the dynamics, Energy Economics, Volume 96, 2021, 105111, ISSN 0140-9883, </w:t>
      </w:r>
      <w:hyperlink r:id="rId15">
        <w:r w:rsidDel="00000000" w:rsidR="00000000" w:rsidRPr="00000000">
          <w:rPr>
            <w:rFonts w:ascii="Georgia" w:cs="Georgia" w:eastAsia="Georgia" w:hAnsi="Georgia"/>
            <w:sz w:val="24"/>
            <w:szCs w:val="24"/>
            <w:u w:val="single"/>
            <w:rtl w:val="0"/>
          </w:rPr>
          <w:t xml:space="preserve">https://doi.org/10.1016/j.eneco.2021.105111</w:t>
        </w:r>
      </w:hyperlink>
      <w:r w:rsidDel="00000000" w:rsidR="00000000" w:rsidRPr="00000000">
        <w:rPr>
          <w:rFonts w:ascii="Georgia" w:cs="Georgia" w:eastAsia="Georgia" w:hAnsi="Georgia"/>
          <w:sz w:val="24"/>
          <w:szCs w:val="24"/>
          <w:rtl w:val="0"/>
        </w:rPr>
        <w:t xml:space="preserve">.</w:t>
      </w:r>
    </w:p>
    <w:p w:rsidR="00000000" w:rsidDel="00000000" w:rsidP="00000000" w:rsidRDefault="00000000" w:rsidRPr="00000000" w14:paraId="0000000D">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Barbaglia, L., Croux, C., &amp; Wilms, I. (2020). Volatility spillovers in commodity markets: A large t-vector autoregressive approach. Energy Economics, 85, 104555. </w:t>
      </w:r>
      <w:hyperlink r:id="rId16">
        <w:r w:rsidDel="00000000" w:rsidR="00000000" w:rsidRPr="00000000">
          <w:rPr>
            <w:rFonts w:ascii="Georgia" w:cs="Georgia" w:eastAsia="Georgia" w:hAnsi="Georgia"/>
            <w:sz w:val="24"/>
            <w:szCs w:val="24"/>
            <w:u w:val="single"/>
            <w:rtl w:val="0"/>
          </w:rPr>
          <w:t xml:space="preserve">https://doi.org/10.1016/j.eneco.2019.104555</w:t>
        </w:r>
      </w:hyperlink>
      <w:r w:rsidDel="00000000" w:rsidR="00000000" w:rsidRPr="00000000">
        <w:rPr>
          <w:rtl w:val="0"/>
        </w:rPr>
      </w:r>
    </w:p>
    <w:p w:rsidR="00000000" w:rsidDel="00000000" w:rsidP="00000000" w:rsidRDefault="00000000" w:rsidRPr="00000000" w14:paraId="0000000E">
      <w:pPr>
        <w:keepNext w:val="1"/>
        <w:keepLines w:val="1"/>
        <w:widowControl w:val="0"/>
        <w:numPr>
          <w:ilvl w:val="0"/>
          <w:numId w:val="1"/>
        </w:numPr>
        <w:spacing w:after="0" w:afterAutospacing="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Tian, M., Alshater, M. M., &amp; Yoon, S. (2022a). Dynamic risk spillovers from oil to stock markets: Fresh evidence from GARCH copula quantile regression-based CoVaR model. Energy Economics, 115, 106341. </w:t>
      </w:r>
      <w:hyperlink r:id="rId17">
        <w:r w:rsidDel="00000000" w:rsidR="00000000" w:rsidRPr="00000000">
          <w:rPr>
            <w:rFonts w:ascii="Georgia" w:cs="Georgia" w:eastAsia="Georgia" w:hAnsi="Georgia"/>
            <w:sz w:val="24"/>
            <w:szCs w:val="24"/>
            <w:u w:val="single"/>
            <w:rtl w:val="0"/>
          </w:rPr>
          <w:t xml:space="preserve">https://doi.org/10.1016/j.eneco.2022.106341</w:t>
        </w:r>
      </w:hyperlink>
      <w:r w:rsidDel="00000000" w:rsidR="00000000" w:rsidRPr="00000000">
        <w:rPr>
          <w:rtl w:val="0"/>
        </w:rPr>
      </w:r>
    </w:p>
    <w:p w:rsidR="00000000" w:rsidDel="00000000" w:rsidP="00000000" w:rsidRDefault="00000000" w:rsidRPr="00000000" w14:paraId="0000000F">
      <w:pPr>
        <w:keepNext w:val="1"/>
        <w:keepLines w:val="1"/>
        <w:widowControl w:val="0"/>
        <w:numPr>
          <w:ilvl w:val="0"/>
          <w:numId w:val="1"/>
        </w:numPr>
        <w:spacing w:after="200" w:lineRule="auto"/>
        <w:ind w:left="720" w:hanging="360"/>
        <w:jc w:val="both"/>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Basher, S. A., &amp; Sadorsky, P. (2006). Oil price risk and emerging stock markets. Global Finance Journal, 17(2), 224–251. </w:t>
      </w:r>
      <w:hyperlink r:id="rId18">
        <w:r w:rsidDel="00000000" w:rsidR="00000000" w:rsidRPr="00000000">
          <w:rPr>
            <w:rFonts w:ascii="Georgia" w:cs="Georgia" w:eastAsia="Georgia" w:hAnsi="Georgia"/>
            <w:sz w:val="24"/>
            <w:szCs w:val="24"/>
            <w:u w:val="single"/>
            <w:rtl w:val="0"/>
          </w:rPr>
          <w:t xml:space="preserve">https://doi.org/10.1016/j.gfj.2006.04.001</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researchgate.net/publication/265752824_Employment_Relations_Integrating_Industrial_Relations_and_Human_Resource_Management" TargetMode="External"/><Relationship Id="rId10" Type="http://schemas.openxmlformats.org/officeDocument/2006/relationships/hyperlink" Target="https://doi.org/10.2307/2534702" TargetMode="External"/><Relationship Id="rId13" Type="http://schemas.openxmlformats.org/officeDocument/2006/relationships/hyperlink" Target="https://doi.org/10.2139/ssrn.4084299" TargetMode="External"/><Relationship Id="rId12" Type="http://schemas.openxmlformats.org/officeDocument/2006/relationships/hyperlink" Target="https://doi.org/10.3386/w105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20955/r.59.2-12.cdy" TargetMode="External"/><Relationship Id="rId15" Type="http://schemas.openxmlformats.org/officeDocument/2006/relationships/hyperlink" Target="https://doi.org/10.1016/j.eneco.2021.105111" TargetMode="External"/><Relationship Id="rId14" Type="http://schemas.openxmlformats.org/officeDocument/2006/relationships/hyperlink" Target="https://doi.org/10.1111/j.1540-6261.1996.tb02691.x" TargetMode="External"/><Relationship Id="rId17" Type="http://schemas.openxmlformats.org/officeDocument/2006/relationships/hyperlink" Target="https://doi.org/10.1016/j.eneco.2022.106341" TargetMode="External"/><Relationship Id="rId16" Type="http://schemas.openxmlformats.org/officeDocument/2006/relationships/hyperlink" Target="https://doi.org/10.1016/j.eneco.2019.104555" TargetMode="External"/><Relationship Id="rId5" Type="http://schemas.openxmlformats.org/officeDocument/2006/relationships/styles" Target="styles.xml"/><Relationship Id="rId6" Type="http://schemas.openxmlformats.org/officeDocument/2006/relationships/hyperlink" Target="https://doi.org/10.1016/j.resourpol.2023.103495" TargetMode="External"/><Relationship Id="rId18" Type="http://schemas.openxmlformats.org/officeDocument/2006/relationships/hyperlink" Target="https://doi.org/10.1016/j.gfj.2006.04.001" TargetMode="External"/><Relationship Id="rId7" Type="http://schemas.openxmlformats.org/officeDocument/2006/relationships/hyperlink" Target="https://doi.org/10.3390/ijfs11030112" TargetMode="External"/><Relationship Id="rId8" Type="http://schemas.openxmlformats.org/officeDocument/2006/relationships/hyperlink" Target="https://documents1.worldbank.org/curated/ru/264171468320067686/pdf/multi-pag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