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5F"/>
          <w:sz w:val="48"/>
          <w:szCs w:val="48"/>
        </w:rPr>
        <w:t xml:space="preserve">D2C Marketing Funnel Analysis</w:t>
      </w:r>
    </w:p>
    <w:p>
      <w:pPr>
        <w:spacing w:after="100"/>
      </w:pPr>
      <w:r>
        <w:rPr>
          <w:color w:val="666666"/>
          <w:sz w:val="28"/>
          <w:szCs w:val="28"/>
        </w:rPr>
        <w:t xml:space="preserve">Project Report</w:t>
      </w:r>
    </w:p>
    <w:p>
      <w:pPr>
        <w:spacing w:after="400"/>
      </w:pPr>
      <w:r>
        <w:rPr>
          <w:color w:val="888888"/>
          <w:sz w:val="20"/>
          <w:szCs w:val="20"/>
        </w:rPr>
        <w:t xml:space="preserve">Prepared by Himanshu  |  SQL &amp; Tableau  |  2026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20"/>
      </w:pPr>
      <w:r>
        <w:t xml:space="preserve">This project analyzes a 120,000-session D2C e-commerce funnel to identify where users drop off in the purchase journey, quantify the revenue impact of that drop-off, and evaluate whether acquisition channel, device, or campaign type meaningfully influence conversion. The goal is to translate raw session-level data into specific, defensible business recommendations.</w:t>
      </w:r>
    </w:p>
    <w:p>
      <w:pPr>
        <w:pStyle w:val="Heading1"/>
        <w:spacing w:after="150" w:before="300"/>
      </w:pPr>
      <w:r>
        <w:t xml:space="preserve">2. Dataset &amp; Tools</w:t>
      </w:r>
    </w:p>
    <w:p>
      <w:pPr>
        <w:spacing w:after="120"/>
      </w:pPr>
      <w:r>
        <w:t xml:space="preserve">Dataset: d2c_marketing_funnel_data — 120,000 session-level records covering the full funnel (visit, product view, cart add, checkout start, purchase completion), along with channel, device, campaign type, region, user type, discount flag, order value, and revenue.</w:t>
      </w:r>
    </w:p>
    <w:p>
      <w:pPr>
        <w:spacing w:after="120"/>
      </w:pPr>
      <w:r>
        <w:rPr>
          <w:b/>
          <w:bCs/>
        </w:rPr>
        <w:t xml:space="preserve">Tools used: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MySQL — data validation, funnel calculation, and segment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Tableau Public — interactive dashboard build (funnel chart, treemap, heatmap, trend line, bar charts)</w:t>
      </w:r>
    </w:p>
    <w:p>
      <w:pPr>
        <w:pStyle w:val="Heading1"/>
        <w:spacing w:after="150" w:before="300"/>
      </w:pPr>
      <w:r>
        <w:t xml:space="preserve">3. Data Validation &amp; Correction</w:t>
      </w:r>
    </w:p>
    <w:p>
      <w:pPr>
        <w:spacing w:after="120"/>
      </w:pPr>
      <w:r>
        <w:t xml:space="preserve">Before analysis, funnel-stage logic was validated to catch impossible progressions (e.g., a session marked as having started checkout without first adding an item to cart).</w:t>
      </w:r>
    </w:p>
    <w:p>
      <w:pPr>
        <w:spacing w:after="120"/>
      </w:pPr>
      <w:r>
        <w:t xml:space="preserve">An earlier pass of this analysis was run against a partially-imported dataset (541 rows instead of the true 120,000), caused by a failed MySQL Workbench import. This was caught by cross-checking the row count against the source file, and the entire analysis was re-run on the complete dataset. The partial sample had produced misleading conclusions — apparent large differences in channel and device conversion, and a suspicious 100% conversion rate tied to discount usage — that did not hold up once the full data was loaded. This is highlighted here deliberately, as it reflects a core analytical practice: validating data completeness before drawing conclusions.</w:t>
      </w:r>
    </w:p>
    <w:p>
      <w:pPr>
        <w:pStyle w:val="Heading1"/>
        <w:spacing w:after="150" w:before="300"/>
      </w:pPr>
      <w:r>
        <w:t xml:space="preserve">4. Funnel Analysis</w:t>
      </w:r>
    </w:p>
    <w:p>
      <w:pPr>
        <w:spacing w:after="120"/>
      </w:pPr>
      <w:r>
        <w:t xml:space="preserve">Session counts and stage-to-stage conversion across the full funnel: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0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Sessions</w:t>
            </w:r>
          </w:p>
        </w:tc>
        <w:tc>
          <w:tcPr>
            <w:tcW w:type="dxa" w:w="30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Conversion from Prior Stage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Visited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120,000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—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t xml:space="preserve">Viewed Product</w:t>
            </w:r>
          </w:p>
        </w:tc>
        <w:tc>
          <w:tcPr>
            <w:tcW w:type="dxa" w:w="3000"/>
            <w:shd w:fill="EDEDED" w:val="clear"/>
          </w:tcPr>
          <w:p>
            <w:r>
              <w:t xml:space="preserve">77,870</w:t>
            </w:r>
          </w:p>
        </w:tc>
        <w:tc>
          <w:tcPr>
            <w:tcW w:type="dxa" w:w="3000"/>
            <w:shd w:fill="EDEDED" w:val="clear"/>
          </w:tcPr>
          <w:p>
            <w:r>
              <w:t xml:space="preserve">64.89%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Added to Cart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27,156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34.87%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t xml:space="preserve">Checkout Started</w:t>
            </w:r>
          </w:p>
        </w:tc>
        <w:tc>
          <w:tcPr>
            <w:tcW w:type="dxa" w:w="3000"/>
            <w:shd w:fill="EDEDED" w:val="clear"/>
          </w:tcPr>
          <w:p>
            <w:r>
              <w:t xml:space="preserve">16,234</w:t>
            </w:r>
          </w:p>
        </w:tc>
        <w:tc>
          <w:tcPr>
            <w:tcW w:type="dxa" w:w="3000"/>
            <w:shd w:fill="EDEDED" w:val="clear"/>
          </w:tcPr>
          <w:p>
            <w:r>
              <w:t xml:space="preserve">59.78%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Purchased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8,181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50.39%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b/>
          <w:bCs/>
        </w:rPr>
        <w:t xml:space="preserve">Overall conversion rate: 6.82%</w:t>
      </w:r>
    </w:p>
    <w:p>
      <w:pPr>
        <w:spacing w:after="120"/>
      </w:pPr>
      <w:r>
        <w:t xml:space="preserve">The largest single drop-off occurs at the View → Cart stage, with a 65.13% drop-off representing 50,714 lost users — more than double the loss at any other stage. This is the single highest-leverage point for improving overall funnel conversion.</w:t>
      </w:r>
    </w:p>
    <w:p>
      <w:pPr>
        <w:pStyle w:val="Heading1"/>
        <w:spacing w:after="150" w:before="300"/>
      </w:pPr>
      <w:r>
        <w:t xml:space="preserve">5. Segment Analysis</w:t>
      </w:r>
    </w:p>
    <w:p>
      <w:pPr>
        <w:spacing w:after="120"/>
      </w:pPr>
      <w:r>
        <w:t xml:space="preserve">Channel-level conversion: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30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Sessions</w:t>
            </w:r>
          </w:p>
        </w:tc>
        <w:tc>
          <w:tcPr>
            <w:tcW w:type="dxa" w:w="30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Conversion %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Email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12,092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7.31%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t xml:space="preserve">Organic</w:t>
            </w:r>
          </w:p>
        </w:tc>
        <w:tc>
          <w:tcPr>
            <w:tcW w:type="dxa" w:w="3000"/>
            <w:shd w:fill="EDEDED" w:val="clear"/>
          </w:tcPr>
          <w:p>
            <w:r>
              <w:t xml:space="preserve">35,946</w:t>
            </w:r>
          </w:p>
        </w:tc>
        <w:tc>
          <w:tcPr>
            <w:tcW w:type="dxa" w:w="3000"/>
            <w:shd w:fill="EDEDED" w:val="clear"/>
          </w:tcPr>
          <w:p>
            <w:r>
              <w:t xml:space="preserve">6.81%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Social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18,071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6.81%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t xml:space="preserve">Paid Ads</w:t>
            </w:r>
          </w:p>
        </w:tc>
        <w:tc>
          <w:tcPr>
            <w:tcW w:type="dxa" w:w="3000"/>
            <w:shd w:fill="EDEDED" w:val="clear"/>
          </w:tcPr>
          <w:p>
            <w:r>
              <w:t xml:space="preserve">53,891</w:t>
            </w:r>
          </w:p>
        </w:tc>
        <w:tc>
          <w:tcPr>
            <w:tcW w:type="dxa" w:w="3000"/>
            <w:shd w:fill="EDEDED" w:val="clear"/>
          </w:tcPr>
          <w:p>
            <w:r>
              <w:t xml:space="preserve">6.72%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Device-level conversion: Desktop 6.91% vs. Mobile 6.78%.</w:t>
      </w:r>
    </w:p>
    <w:p>
      <w:pPr>
        <w:spacing w:after="120"/>
      </w:pPr>
      <w:r>
        <w:t xml:space="preserve">Across channel, device, and campaign type, conversion rates cluster tightly within a 6.7%–7.3% range. This indicates that acquisition channel is not a meaningful lever for improving conversion at this scale — funnel and UX improvements are a substantially higher-impact area than reallocating marketing spend across channels.</w:t>
      </w:r>
    </w:p>
    <w:p>
      <w:pPr>
        <w:pStyle w:val="Heading1"/>
        <w:spacing w:after="150" w:before="300"/>
      </w:pPr>
      <w:r>
        <w:t xml:space="preserve">6. Revenue Impact</w:t>
      </w:r>
    </w:p>
    <w:p>
      <w:pPr>
        <w:spacing w:after="120"/>
      </w:pPr>
      <w:r>
        <w:t xml:space="preserve">8,053 sessions started checkout but did not complete a purchase, representing approximately ₹40,18,447 (~₹40 lakh) in lost potential revenue across the analysis period. Recovering even a fraction of this through checkout UX improvements or targeted re-engagement represents a substantial, quantifiable opportunity.</w:t>
      </w:r>
    </w:p>
    <w:p>
      <w:pPr>
        <w:pStyle w:val="Heading1"/>
        <w:spacing w:after="150" w:before="300"/>
      </w:pPr>
      <w:r>
        <w:t xml:space="preserve">7. Data Quality Note: Discount Field</w:t>
      </w:r>
    </w:p>
    <w:p>
      <w:pPr>
        <w:spacing w:after="120"/>
      </w:pPr>
      <w:r>
        <w:t xml:space="preserve">Sessions with discount_applied = 'Yes' show a 100.00% purchase completion rate with zero exceptions (4,462 of 4,462). This is not a realistic behavioral pattern for a pre-purchase incentive and suggests the field is likely recorded post-purchase rather than representing a discount shown to the user before conversion. This is flagged explicitly rather than presented as a causal finding, since treating it as "discounts drive 100% conversion" would not hold up under further scrutiny.</w:t>
      </w:r>
    </w:p>
    <w:p>
      <w:pPr>
        <w:pStyle w:val="Heading1"/>
        <w:spacing w:after="150" w:before="300"/>
      </w:pPr>
      <w:r>
        <w:t xml:space="preserve">8. Business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Prioritize product-page → cart UX investigation — the highest-leverage, most statistically reliable improvement area identified.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Investigate checkout abandonment specifically (e.g., simplified checkout flow, expanded payment methods, exit-intent offers) to recover a portion of the ₹40L revenue opportunity.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Avoid reallocating marketing budget based on channel conversion differences alone — they are not meaningful at this scale; use CAC/LTV instead for channel investment decisions.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the discount-tracking implementation before using it in any causal or reporting context.</w:t>
      </w:r>
    </w:p>
    <w:p>
      <w:pPr>
        <w:pStyle w:val="Heading1"/>
        <w:spacing w:after="150" w:before="300"/>
      </w:pPr>
      <w:r>
        <w:t xml:space="preserve">9. Dashboard</w:t>
      </w:r>
    </w:p>
    <w:p>
      <w:pPr>
        <w:spacing w:after="120"/>
      </w:pPr>
      <w:r>
        <w:t xml:space="preserve">The full interactive dashboard (funnel chart, channel conversion, revenue-by-campaign treemap, channel × device heatmap, and monthly trend) is shown below and is also available as a live interactive Tableau Public workbook.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10. Summary</w:t>
      </w:r>
    </w:p>
    <w:p>
      <w:pPr>
        <w:spacing w:after="120"/>
      </w:pPr>
      <w:r>
        <w:t xml:space="preserve">This analysis moves beyond surface-level funnel metrics to identify a specific, high-confidence intervention point (View → Cart), quantify its revenue impact, and correctly rule out channel/device as meaningful conversion levers at this data scale — while also surfacing and transparently reporting a data quality issue rather than overstating a finding. The complete SQL query set and Tableau workbook accompany this report in the project repository.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def224a72e839629b9bf4db37ad1f4b2a6e826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2026-07-26T12:35:10.174Z</dcterms:created>
  <dcterms:modified xsi:type="dcterms:W3CDTF">2026-07-26T12:35:10.190Z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