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Task 4 Report: Machine Learning Quantum Analysis</w:t>
      </w:r>
    </w:p>
    <w:p>
      <w:pPr>
        <w:spacing w:after="700"/>
        <w:jc w:val="center"/>
      </w:pPr>
      <w:r>
        <w:rPr>
          <w:rFonts w:ascii="Calibri" w:cs="Calibri" w:eastAsia="Calibri" w:hAnsi="Calibri"/>
          <w:i/>
          <w:iCs/>
          <w:sz w:val="26"/>
          <w:szCs w:val="26"/>
        </w:rPr>
        <w:t xml:space="preserve">Bars-vs-Stripes Quantum Classifier: Circuit Analysis, Iteration Monitoring and Local Comparison</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Bdr>
          <w:left w:val="single" w:color="E07A3F" w:sz="18" w:space="8"/>
        </w:pBdr>
        <w:shd w:fill="FFF4E5" w:color="auto" w:val="clear"/>
        <w:spacing w:after="180" w:before="80" w:line="276"/>
        <w:ind w:left="160" w:right="160"/>
      </w:pPr>
      <w:r>
        <w:rPr>
          <w:sz w:val="20"/>
          <w:szCs w:val="20"/>
        </w:rPr>
        <w:t xml:space="preserve">This is the separate Task 4 report requested by the brief. Its content is identical to Section 6 of the group report Assignment2.docx, which also contains the introduction, the other tasks and the full discussion.</w:t>
      </w:r>
    </w:p>
    <w:p>
      <w:pPr>
        <w:pStyle w:val="Heading1"/>
      </w:pPr>
      <w:r>
        <w:t xml:space="preserve">1. Task 4 – Machine Learning Quantum Analysis</w:t>
      </w:r>
    </w:p>
    <w:p>
      <w:pPr>
        <w:pBdr>
          <w:left w:val="single" w:color="E07A3F" w:sz="18" w:space="8"/>
        </w:pBdr>
        <w:shd w:fill="FFF4E5" w:color="auto" w:val="clear"/>
        <w:spacing w:after="180" w:before="80" w:line="276"/>
        <w:ind w:left="160" w:right="160"/>
      </w:pPr>
      <w:r>
        <w:rPr>
          <w:sz w:val="20"/>
          <w:szCs w:val="20"/>
        </w:rPr>
        <w:t xml:space="preserve">Task question: Analyse the code (circuit and problem formulation; data input; quantum functionality, excluding the optimiser); execute it, monitor the output at each iteration and plot iteration vs output and iteration vs time; modify it to run locally without the quantum computer or circuit and document differences in efficiency and effectiveness; submit the modified .ipynb and a report.   Notebook: Task_4_Quantum_ML/Task4_Quantum_ML_Modified.ipynb (original kept beside it)</w:t>
      </w:r>
    </w:p>
    <w:p>
      <w:pPr>
        <w:pStyle w:val="Heading2"/>
      </w:pPr>
      <w:r>
        <w:t xml:space="preserve">1.1 What problem does the code solve? (Problem formulation)</w:t>
      </w:r>
    </w:p>
    <w:p>
      <w:pPr>
        <w:spacing w:after="140" w:line="288"/>
        <w:jc w:val="both"/>
      </w:pPr>
      <w:r>
        <w:t xml:space="preserve">The supplied Lab 10 notebook (Bahrami, 2026c) trains a quantum circuit to classify tiny 2 × 2 black-and-white images into two classes, which the code calls </w:t>
      </w:r>
      <w:r>
        <w:rPr>
          <w:b/>
          <w:bCs/>
        </w:rPr>
        <w:t xml:space="preserve">stripes</w:t>
      </w:r>
      <w:r>
        <w:t xml:space="preserve"> (label 0) and </w:t>
      </w:r>
      <w:r>
        <w:rPr>
          <w:b/>
          <w:bCs/>
        </w:rPr>
        <w:t xml:space="preserve">bars</w:t>
      </w:r>
      <w:r>
        <w:t xml:space="preserve"> (label 1). </w:t>
      </w:r>
      <w:r>
        <w:rPr>
          <w:rFonts w:ascii="Consolas" w:cs="Consolas" w:eastAsia="Consolas" w:hAnsi="Consolas"/>
          <w:sz w:val="19"/>
          <w:szCs w:val="19"/>
        </w:rPr>
        <w:t xml:space="preserve">generate_data(2)</w:t>
      </w:r>
      <w:r>
        <w:t xml:space="preserve"> creates all line patterns and removes the all-black and all-white images, because they belong to both classes. Four images remain: [1,0,1,0] and [0,1,0,1] (label 0), and [1,1,0,0] and [0,0,1,1] (label 1). Three are used for training and one for testing (75/25 split).</w:t>
      </w:r>
    </w:p>
    <w:p>
      <w:pPr>
        <w:keepNext/>
        <w:spacing w:after="60" w:before="120"/>
        <w:jc w:val="center"/>
      </w:pPr>
      <w:r>
        <w:drawing>
          <wp:inline distT="0" distB="0" distL="0" distR="0">
            <wp:extent cx="4476750" cy="1343025"/>
            <wp:effectExtent t="0" r="0" b="0" l="0"/>
            <wp:docPr id="1" name="t4data" descr="The four images, their pixel vectors and labels" title="The four images, their pixel vectors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343025"/>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The four images, their pixel vectors and labels</w:t>
      </w:r>
    </w:p>
    <w:p>
      <w:pPr>
        <w:spacing w:after="140" w:line="288"/>
        <w:jc w:val="both"/>
      </w:pPr>
      <w:r>
        <w:t xml:space="preserve">The model output is the probability that the last qubit is measured as 1, estimated from shots: ŷ(θ, x) ≈ (number of 1s) / shots. The </w:t>
      </w:r>
      <w:r>
        <w:rPr>
          <w:b/>
          <w:bCs/>
        </w:rPr>
        <w:t xml:space="preserve">loss</w:t>
      </w:r>
      <w:r>
        <w:t xml:space="preserve"> minimised is the mean absolute error over the training images:</w:t>
      </w:r>
    </w:p>
    <w:p>
      <w:pPr>
        <w:spacing w:after="160" w:before="60"/>
        <w:jc w:val="center"/>
      </w:pPr>
      <w:r>
        <w:rPr>
          <w:rFonts w:ascii="Cambria Math" w:cs="Cambria Math" w:eastAsia="Cambria Math" w:hAnsi="Cambria Math"/>
          <w:sz w:val="23"/>
          <w:szCs w:val="23"/>
        </w:rPr>
        <w:t xml:space="preserve">L(θ) = (1/N) Σₙ | ŷ(θ, xₙ) − yₙ |</w:t>
      </w:r>
    </w:p>
    <w:p>
      <w:pPr>
        <w:spacing w:after="140" w:line="288"/>
        <w:jc w:val="both"/>
      </w:pPr>
      <w:r>
        <w:t xml:space="preserve">A good model gives ŷ → 1 for bars and ŷ → 0 for stripes; an image is classified as a bar when ŷ &gt; 0.5.</w:t>
      </w:r>
    </w:p>
    <w:p>
      <w:pPr>
        <w:pStyle w:val="Heading2"/>
      </w:pPr>
      <w:r>
        <w:t xml:space="preserve">1.2 Which part of the code is the input to the circuit?</w:t>
      </w:r>
    </w:p>
    <w:p>
      <w:pPr>
        <w:spacing w:after="140" w:line="288"/>
        <w:jc w:val="both"/>
      </w:pPr>
      <w:r>
        <w:t xml:space="preserve">The input is the loop at the top of </w:t>
      </w:r>
      <w:r>
        <w:rPr>
          <w:rFonts w:ascii="Consolas" w:cs="Consolas" w:eastAsia="Consolas" w:hAnsi="Consolas"/>
          <w:sz w:val="19"/>
          <w:szCs w:val="19"/>
        </w:rPr>
        <w:t xml:space="preserve">create_circuit</w:t>
      </w:r>
      <w:r>
        <w:t xml:space="preserve">: for every pixel i, </w:t>
      </w:r>
      <w:r>
        <w:rPr>
          <w:rFonts w:ascii="Consolas" w:cs="Consolas" w:eastAsia="Consolas" w:hAnsi="Consolas"/>
          <w:sz w:val="19"/>
          <w:szCs w:val="19"/>
        </w:rPr>
        <w:t xml:space="preserve">if data[i] &gt; 0.5</w:t>
      </w:r>
      <w:r>
        <w:t xml:space="preserve">, an </w:t>
      </w:r>
      <w:r>
        <w:rPr>
          <w:b/>
          <w:bCs/>
        </w:rPr>
        <w:t xml:space="preserve">X gate</w:t>
      </w:r>
      <w:r>
        <w:t xml:space="preserve"> is added to qubit i. Each pixel is one qubit, and a white pixel flips its qubit from |0⟩ to |1⟩. This is </w:t>
      </w:r>
      <w:r>
        <w:rPr>
          <w:b/>
          <w:bCs/>
        </w:rPr>
        <w:t xml:space="preserve">basis encoding</w:t>
      </w:r>
      <w:r>
        <w:t xml:space="preserve">: the image becomes the starting basis state, e.g. [1,0,1,0] → |q3q2q1q0⟩ = |0101⟩ (Schuld &amp; Petruccione, 2021). The data enters only here; everything after it is the trainable model.</w:t>
      </w:r>
    </w:p>
    <w:p>
      <w:pPr>
        <w:pStyle w:val="Heading2"/>
      </w:pPr>
      <w:r>
        <w:t xml:space="preserve">1.3 How does the circuit work? (Quantum part, excluding the optimiser)</w:t>
      </w:r>
    </w:p>
    <w:p>
      <w:pPr>
        <w:spacing w:after="140" w:line="288"/>
        <w:jc w:val="both"/>
      </w:pPr>
      <w:r>
        <w:t xml:space="preserve">The trainable part is built from </w:t>
      </w:r>
      <w:r>
        <w:rPr>
          <w:b/>
          <w:bCs/>
        </w:rPr>
        <w:t xml:space="preserve">blocks</w:t>
      </w:r>
      <w:r>
        <w:t xml:space="preserve">. </w:t>
      </w:r>
      <w:r>
        <w:rPr>
          <w:rFonts w:ascii="Consolas" w:cs="Consolas" w:eastAsia="Consolas" w:hAnsi="Consolas"/>
          <w:sz w:val="19"/>
          <w:szCs w:val="19"/>
        </w:rPr>
        <w:t xml:space="preserve">block(angles, qubits)</w:t>
      </w:r>
      <w:r>
        <w:t xml:space="preserve"> applies Rᵧ(θₐ) to one qubit, Rᵧ(θ_b) to another, and then a CNOT between them. </w:t>
      </w:r>
      <w:r>
        <w:rPr>
          <w:rFonts w:ascii="Consolas" w:cs="Consolas" w:eastAsia="Consolas" w:hAnsi="Consolas"/>
          <w:sz w:val="19"/>
          <w:szCs w:val="19"/>
        </w:rPr>
        <w:t xml:space="preserve">generate_pairs</w:t>
      </w:r>
      <w:r>
        <w:t xml:space="preserve"> splits the qubits in half again and again and joins the halves, giving the pairs (0,1), (2,3) and then (1,3). Information from all four pixels therefore flows into </w:t>
      </w:r>
      <w:r>
        <w:rPr>
          <w:b/>
          <w:bCs/>
        </w:rPr>
        <w:t xml:space="preserve">qubit 3</w:t>
      </w:r>
      <w:r>
        <w:t xml:space="preserve"> in only log₂4 = 2 layers. This is a </w:t>
      </w:r>
      <w:r>
        <w:rPr>
          <w:b/>
          <w:bCs/>
        </w:rPr>
        <w:t xml:space="preserve">tree tensor network (TTN)</w:t>
      </w:r>
      <w:r>
        <w:t xml:space="preserve"> classifier of the kind studied by Grant et al. (2018) and Huggins et al. (2019). With 3 blocks × 2 angles there are </w:t>
      </w:r>
      <w:r>
        <w:rPr>
          <w:b/>
          <w:bCs/>
        </w:rPr>
        <w:t xml:space="preserve">6 trainable parameters</w:t>
      </w:r>
      <w:r>
        <w:t xml:space="preserve">, and only qubit 3 is measured.</w:t>
      </w:r>
    </w:p>
    <w:p>
      <w:pPr>
        <w:keepNext/>
        <w:spacing w:after="60" w:before="120"/>
        <w:jc w:val="center"/>
      </w:pPr>
      <w:r>
        <w:drawing>
          <wp:inline distT="0" distB="0" distL="0" distR="0">
            <wp:extent cx="5334000" cy="3933825"/>
            <wp:effectExtent t="0" r="0" b="0" l="0"/>
            <wp:docPr id="2" name="t4circ" descr="Classifier circuit for image [1,1,0,0]: X gates encode the pixels, then three RY–RY–CNOT blocks form a tree into q3" title="Classifier circuit for image [1,1,0,0]: X gates encode the pixels, then three RY–RY–CNOT blocks form a tree into 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33825"/>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Classifier circuit for image [1,1,0,0]: X gates encode the pixels, then three RY–RY–CNOT blocks form a tree into q3</w:t>
      </w:r>
    </w:p>
    <w:p>
      <w:pPr>
        <w:spacing w:after="140" w:line="288"/>
        <w:jc w:val="both"/>
      </w:pPr>
      <w:r>
        <w:t xml:space="preserve">The RY gates give each block adjustable 'weights', while the CNOTs make the output depend on *combinations* of pixels. If a control qubit is in |1⟩, the CNOT flips the target, so the final value of q3 behaves like an XOR (parity) of pixels that is smoothly adjusted by the angles. This structure turns out to be the key to the results below.</w:t>
      </w:r>
    </w:p>
    <w:p>
      <w:pPr>
        <w:pStyle w:val="Heading2"/>
      </w:pPr>
      <w:r>
        <w:t xml:space="preserve">1.4 What did we add to monitor every iteration?</w:t>
      </w:r>
    </w:p>
    <w:p>
      <w:pPr>
        <w:spacing w:after="140" w:line="288"/>
        <w:jc w:val="both"/>
      </w:pPr>
      <w:r>
        <w:t xml:space="preserve">We modified the SPSA optimiser (Spall, 1992) without changing its algorithm. SPSA estimates the gradient from just </w:t>
      </w:r>
      <w:r>
        <w:rPr>
          <w:b/>
          <w:bCs/>
        </w:rPr>
        <w:t xml:space="preserve">two</w:t>
      </w:r>
      <w:r>
        <w:t xml:space="preserve"> loss evaluations per iteration, whatever the number of parameters, which suits noisy, expensive quantum evaluations. We added a timer around each update and, after each update, one extra evaluation of the training loss, the </w:t>
      </w:r>
      <w:r>
        <w:rPr>
          <w:b/>
          <w:bCs/>
        </w:rPr>
        <w:t xml:space="preserve">output measure</w:t>
      </w:r>
      <w:r>
        <w:t xml:space="preserve">. This monitoring evaluation is timed separately so it does not inflate the iteration time. Settings were kept as in the original (a = 1, c = 0.5, α = 0.602, γ = 0.101, 100 iterations), except that the shots per circuit were raised from 100 to the group's agreed </w:t>
      </w:r>
      <w:r>
        <w:rPr>
          <w:b/>
          <w:bCs/>
        </w:rPr>
        <w:t xml:space="preserve">1000</w:t>
      </w:r>
      <w:r>
        <w:t xml:space="preserve">, and a fixed seed (2026) makes runs repeatable. Each iteration runs 3 evaluations × 3 training images = 9 circuits, so the run executed </w:t>
      </w:r>
      <w:r>
        <w:rPr>
          <w:b/>
          <w:bCs/>
        </w:rPr>
        <w:t xml:space="preserve">900 circuits</w:t>
      </w:r>
      <w:r>
        <w:t xml:space="preserve"> in total.</w:t>
      </w:r>
    </w:p>
    <w:p>
      <w:pPr>
        <w:pStyle w:val="Heading2"/>
      </w:pPr>
      <w:r>
        <w:t xml:space="preserve">1.5 What do the two required graphs show?</w:t>
      </w:r>
    </w:p>
    <w:p>
      <w:pPr>
        <w:keepNext/>
        <w:spacing w:after="60" w:before="120"/>
        <w:jc w:val="center"/>
      </w:pPr>
      <w:r>
        <w:drawing>
          <wp:inline distT="0" distB="0" distL="0" distR="0">
            <wp:extent cx="4572000" cy="2438400"/>
            <wp:effectExtent t="0" r="0" b="0" l="0"/>
            <wp:docPr id="3" name="t4out" descr="Required graph 1: iteration number versus output measure (training loss)" title="Required graph 1: iteration number versus output measure (training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Required graph 1: iteration number versus output measure (training loss)</w:t>
      </w:r>
    </w:p>
    <w:p>
      <w:pPr>
        <w:keepNext/>
        <w:spacing w:after="80" w:before="120"/>
      </w:pPr>
      <w:r>
        <w:rPr>
          <w:b/>
          <w:bCs/>
          <w:color w:val="1F4E79"/>
          <w:sz w:val="20"/>
          <w:szCs w:val="20"/>
        </w:rPr>
        <w:t xml:space="preserve">Table 1. </w:t>
      </w:r>
      <w:r>
        <w:rPr>
          <w:i/>
          <w:iCs/>
          <w:sz w:val="20"/>
          <w:szCs w:val="20"/>
        </w:rPr>
        <w:t xml:space="preserve">Excerpt from the 100-iteration log (task4_quantum_iterations.csv)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Iteration</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Output (training loss)</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0.503</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random start: no better than guessing</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0.390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0.191</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0.096</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&lt; 0.05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iteration below 0.05</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0.020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training images perfectly separated</w:t>
            </w:r>
          </w:p>
        </w:tc>
      </w:tr>
    </w:tbl>
    <w:p>
      <w:pPr>
        <w:spacing w:after="100"/>
      </w:pPr>
    </w:p>
    <w:p>
      <w:pPr>
        <w:spacing w:after="140" w:line="288"/>
        <w:jc w:val="both"/>
      </w:pPr>
      <w:r>
        <w:rPr>
          <w:b/>
          <w:bCs/>
        </w:rPr>
        <w:t xml:space="preserve">Graph 1</w:t>
      </w:r>
      <w:r>
        <w:t xml:space="preserve"> shows the loss falling from 0.50, which is equal to random guessing, to 0.00 by iteration 100. It fell quickly in the first 40 iterations and then flattened. The curve is not perfectly smooth. Each loss value is itself an estimate from 1000 shots per image, and SPSA's random ±1 directions sometimes give a slightly worse step (e.g. iterations 10–11 and 15–20). The step size aₖ = 1/(k+1)^0.602 shrinks over time, which explains the slow final convergence.</w:t>
      </w:r>
    </w:p>
    <w:p>
      <w:pPr>
        <w:keepNext/>
        <w:spacing w:after="60" w:before="120"/>
        <w:jc w:val="center"/>
      </w:pPr>
      <w:r>
        <w:drawing>
          <wp:inline distT="0" distB="0" distL="0" distR="0">
            <wp:extent cx="4572000" cy="2438400"/>
            <wp:effectExtent t="0" r="0" b="0" l="0"/>
            <wp:docPr id="4" name="t4time" descr="Required graph 2: iteration number versus time per iteration" title="Required graph 2: iteration number versus time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Required graph 2: iteration number versus time per iteration</w:t>
      </w:r>
    </w:p>
    <w:p>
      <w:pPr>
        <w:spacing w:after="140" w:line="288"/>
        <w:jc w:val="both"/>
      </w:pPr>
      <w:r>
        <w:rPr>
          <w:b/>
          <w:bCs/>
        </w:rPr>
        <w:t xml:space="preserve">Graph 2</w:t>
      </w:r>
      <w:r>
        <w:t xml:space="preserve"> shows an almost </w:t>
      </w:r>
      <w:r>
        <w:rPr>
          <w:b/>
          <w:bCs/>
        </w:rPr>
        <w:t xml:space="preserve">constant</w:t>
      </w:r>
      <w:r>
        <w:t xml:space="preserve"> time per iteration of 0.61 s on average (range 0.51–0.72 s). This is expected: every iteration runs the same number of circuits (6 for the update) with the same size and shot count, so the cost does not depend on how good the model is. The small spikes are background noise from the operating system. On the real Quokka, each circuit adds a network round trip, so the line would sit higher and be more irregular, and the total would be dominated by communication rather than computation.</w:t>
      </w:r>
    </w:p>
    <w:p>
      <w:pPr>
        <w:pStyle w:val="Heading2"/>
      </w:pPr>
      <w:r>
        <w:t xml:space="preserve">1.6 How did we make the code run without the quantum computer or circuit?</w:t>
      </w:r>
    </w:p>
    <w:p>
      <w:pPr>
        <w:spacing w:after="140" w:line="288"/>
        <w:jc w:val="both"/>
      </w:pPr>
      <w:r>
        <w:t xml:space="preserve">The brief can be read in two ways, so we built </w:t>
      </w:r>
      <w:r>
        <w:rPr>
          <w:b/>
          <w:bCs/>
        </w:rPr>
        <w:t xml:space="preserve">both</w:t>
      </w:r>
      <w:r>
        <w:t xml:space="preserve"> and added one fairer baseline. Every version uses the same loss, the same SPSA settings and the same random seed, so only the model changes:</w:t>
      </w:r>
    </w:p>
    <w:p>
      <w:pPr>
        <w:pStyle w:val="ListParagraph"/>
        <w:numPr>
          <w:ilvl w:val="0"/>
          <w:numId w:val="2"/>
        </w:numPr>
        <w:spacing w:after="80" w:line="276"/>
        <w:jc w:val="both"/>
      </w:pPr>
      <w:r>
        <w:rPr>
          <w:b/>
          <w:bCs/>
        </w:rPr>
        <w:t xml:space="preserve">Local-A: no quantum computer.</w:t>
      </w:r>
      <w:r>
        <w:t xml:space="preserve"> The same circuit is simulated exactly with our own NumPy state-vector code: 16 complex amplitudes, with gates applied as matrices. It computes P(q3 = 1) exactly, so there is no shot noise. It was verified against Qiskit (both gave 0.500625 for a random test case).</w:t>
      </w:r>
    </w:p>
    <w:p>
      <w:pPr>
        <w:pStyle w:val="ListParagraph"/>
        <w:numPr>
          <w:ilvl w:val="0"/>
          <w:numId w:val="2"/>
        </w:numPr>
        <w:spacing w:after="80" w:line="276"/>
        <w:jc w:val="both"/>
      </w:pPr>
      <w:r>
        <w:rPr>
          <w:b/>
          <w:bCs/>
        </w:rPr>
        <w:t xml:space="preserve">Local-B: no quantum circuit.</w:t>
      </w:r>
      <w:r>
        <w:t xml:space="preserve"> A classical logistic regression ŷ = σ(w·x + b) with 5 parameters, close to the circuit's 6.</w:t>
      </w:r>
    </w:p>
    <w:p>
      <w:pPr>
        <w:pStyle w:val="ListParagraph"/>
        <w:numPr>
          <w:ilvl w:val="0"/>
          <w:numId w:val="2"/>
        </w:numPr>
        <w:spacing w:after="80" w:line="276"/>
        <w:jc w:val="both"/>
      </w:pPr>
      <w:r>
        <w:rPr>
          <w:b/>
          <w:bCs/>
        </w:rPr>
        <w:t xml:space="preserve">Local-C: a fair classical baseline.</w:t>
      </w:r>
      <w:r>
        <w:t xml:space="preserve"> Logistic regression with pairwise pixel products added (4 + 6 features, 11 parameters). This is the standard classical way to model interactions.</w:t>
      </w:r>
    </w:p>
    <w:p>
      <w:pPr>
        <w:pStyle w:val="Heading2"/>
      </w:pPr>
      <w:r>
        <w:t xml:space="preserve">1.7 What were the differences in efficiency and effectiveness?</w:t>
      </w:r>
    </w:p>
    <w:p>
      <w:pPr>
        <w:keepNext/>
        <w:spacing w:after="80" w:before="120"/>
      </w:pPr>
      <w:r>
        <w:rPr>
          <w:b/>
          <w:bCs/>
          <w:color w:val="1F4E79"/>
          <w:sz w:val="20"/>
          <w:szCs w:val="20"/>
        </w:rPr>
        <w:t xml:space="preserve">Table 2. </w:t>
      </w:r>
      <w:r>
        <w:rPr>
          <w:i/>
          <w:iCs/>
          <w:sz w:val="20"/>
          <w:szCs w:val="20"/>
        </w:rPr>
        <w:t xml:space="preserve">Quantum circuit versus local versions (100 SPSA iterations, seed 2026). Accuracy uses each trained model's exact output; times vary slightly between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100"/>
        <w:gridCol w:w="1300"/>
        <w:gridCol w:w="1000"/>
        <w:gridCol w:w="1100"/>
        <w:gridCol w:w="1000"/>
        <w:gridCol w:w="1000"/>
      </w:tblGrid>
      <w:tr>
        <w:trPr>
          <w:tblHeader/>
        </w:trPr>
        <w:tc>
          <w:tcPr>
            <w:tcW w:type="dxa" w:w="2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Version</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Total time (s)</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Time / iteration (s)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Circuit runs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loss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 acc.</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All 4 images</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 circuit (1000 shots; local sim, Quokka offline)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0.614</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900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Local-A: same circuit, exact NumPy</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0.19</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0.0013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Local-B: classical linear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0.024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0.00016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0.296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Local-C: classical + pairwise features</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0.034</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0.00023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0.206</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3/4</w:t>
            </w:r>
          </w:p>
        </w:tc>
      </w:tr>
    </w:tbl>
    <w:p>
      <w:pPr>
        <w:spacing w:after="100"/>
      </w:pPr>
    </w:p>
    <w:p>
      <w:pPr>
        <w:keepNext/>
        <w:spacing w:after="60" w:before="120"/>
        <w:jc w:val="center"/>
      </w:pPr>
      <w:r>
        <w:drawing>
          <wp:inline distT="0" distB="0" distL="0" distR="0">
            <wp:extent cx="5715000" cy="1905000"/>
            <wp:effectExtent t="0" r="0" b="0" l="0"/>
            <wp:docPr id="5" name="t4cmpfig" descr="All versions: loss per iteration (left) and time per iteration on a log scale (right)" title="All versions: loss per iteration (left) and time per iteration on a log scal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All versions: loss per iteration (left) and time per iteration on a log scale (right)</w:t>
      </w:r>
    </w:p>
    <w:p>
      <w:pPr>
        <w:spacing w:after="140" w:line="288"/>
        <w:jc w:val="both"/>
      </w:pPr>
      <w:r>
        <w:rPr>
          <w:b/>
          <w:bCs/>
        </w:rPr>
        <w:t xml:space="preserve">Efficiency.</w:t>
      </w:r>
      <w:r>
        <w:t xml:space="preserve"> Removing the quantum device made each iteration about </w:t>
      </w:r>
      <w:r>
        <w:rPr>
          <w:b/>
          <w:bCs/>
        </w:rPr>
        <w:t xml:space="preserve">470 times faster</w:t>
      </w:r>
      <w:r>
        <w:t xml:space="preserve"> (0.614 s → 0.0013 s). A shot-based run needs 1000 samples per circuit, plus QASM parsing and, on Quokka, a network request, whereas the exact simulation needs one small matrix calculation. Local-A and the quantum run followed almost the same loss curve, both first dropping below 0.05 at iteration 37. The shot noise therefore slowed the computer, not the learning. This advantage disappears as problems grow: exact simulation needs 2ⁿ amplitudes, so 50 qubits would need about 10¹⁵ complex numbers, which is why real quantum hardware becomes useful only at scale.</w:t>
      </w:r>
    </w:p>
    <w:p>
      <w:pPr>
        <w:spacing w:after="140" w:line="288"/>
        <w:jc w:val="both"/>
      </w:pPr>
      <w:r>
        <w:rPr>
          <w:b/>
          <w:bCs/>
        </w:rPr>
        <w:t xml:space="preserve">Effectiveness.</w:t>
      </w:r>
      <w:r>
        <w:t xml:space="preserve"> The circuit (both quantum and Local-A) reached zero training loss and also classified the </w:t>
      </w:r>
      <w:r>
        <w:rPr>
          <w:b/>
          <w:bCs/>
        </w:rPr>
        <w:t xml:space="preserve">unseen test image</w:t>
      </w:r>
      <w:r>
        <w:t xml:space="preserve"> correctly. Both classical models fitted the training images but </w:t>
      </w:r>
      <w:r>
        <w:rPr>
          <w:b/>
          <w:bCs/>
        </w:rPr>
        <w:t xml:space="preserve">failed the test image</w:t>
      </w:r>
      <w:r>
        <w:t xml:space="preserve">, and their losses stayed high (0.30 and 0.21). The reason is the shape of the data. In each class the two images are exact opposites, so the class sums are identical and </w:t>
      </w:r>
      <w:r>
        <w:rPr>
          <w:b/>
          <w:bCs/>
        </w:rPr>
        <w:t xml:space="preserve">no straight line can separate the classes</w:t>
      </w:r>
      <w:r>
        <w:t xml:space="preserve">. Like XOR, this is the classic limit of linear models (Minsky &amp; Papert, 1969). In fact, the label equals </w:t>
      </w:r>
      <w:r>
        <w:rPr>
          <w:b/>
          <w:bCs/>
        </w:rPr>
        <w:t xml:space="preserve">x₁ XOR x₃</w:t>
      </w:r>
      <w:r>
        <w:t xml:space="preserve"> (Figure 6).</w:t>
      </w:r>
    </w:p>
    <w:p>
      <w:pPr>
        <w:keepNext/>
        <w:spacing w:after="60" w:before="120"/>
        <w:jc w:val="center"/>
      </w:pPr>
      <w:r>
        <w:drawing>
          <wp:inline distT="0" distB="0" distL="0" distR="0">
            <wp:extent cx="3429000" cy="2238375"/>
            <wp:effectExtent t="0" r="0" b="0" l="0"/>
            <wp:docPr id="6" name="t4xor" descr="The data is XOR-shaped: label = x1 XOR x3, so a linear classifier cannot separate it" title="The data is XOR-shaped: label = x1 XOR x3, so a linear classifier cannot separ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238375"/>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The data is XOR-shaped: label = x1 XOR x3, so a linear classifier cannot separate it</w:t>
      </w:r>
    </w:p>
    <w:p>
      <w:pPr>
        <w:spacing w:after="140" w:line="288"/>
        <w:jc w:val="both"/>
      </w:pPr>
      <w:r>
        <w:t xml:space="preserve">Local-C has the right *kind* of features, but the test image's key feature (the product x₀·x₁) is zero in all three training images, so its weight is never learned. The circuit generalised because its CNOT tree computes parity naturally. Its built-in bias (an XOR-like structure) happens to match this problem. This is an honest, limited claim: with one test image the test score is weak evidence, and a classical model designed with XOR features would also succeed. The fair conclusion is that the circuit's </w:t>
      </w:r>
      <w:r>
        <w:rPr>
          <w:b/>
          <w:bCs/>
        </w:rPr>
        <w:t xml:space="preserve">structure</w:t>
      </w:r>
      <w:r>
        <w:t xml:space="preserve">, not quantum speed, made it effective here.</w:t>
      </w:r>
    </w:p>
    <w:p>
      <w:pPr>
        <w:pStyle w:val="Heading2"/>
      </w:pPr>
      <w:r>
        <w:t xml:space="preserve">1.8 Did anything not work as expected?</w:t>
      </w:r>
    </w:p>
    <w:p>
      <w:pPr>
        <w:spacing w:after="140" w:line="288"/>
        <w:jc w:val="both"/>
      </w:pPr>
      <w:r>
        <w:t xml:space="preserve">Yes. The original warm-up (one qubit learning to output 1 with Nelder–Mead, 10 iterations) </w:t>
      </w:r>
      <w:r>
        <w:rPr>
          <w:b/>
          <w:bCs/>
        </w:rPr>
        <w:t xml:space="preserve">failed</w:t>
      </w:r>
      <w:r>
        <w:t xml:space="preserve"> in our run: it stopped at θ = −0.47 with loss 0.87 instead of θ = π. Near θ = 0 the loss cos⁴(θ/2) is almost flat, and differences between nearby points are smaller than the shot noise, so the simplex method (Nelder &amp; Mead, 1965) could not tell which way to move in 10 iterations. This small failure illustrates a real problem in quantum machine learning: noise plus flat loss landscapes make training hard, and in large circuits this becomes the 'barren plateau' problem (McClean et al., 2018). SPSA was more robust because it uses large, random perturbations.</w:t>
      </w:r>
    </w:p>
    <w:p>
      <w:pPr>
        <w:pStyle w:val="Heading2"/>
      </w:pPr>
      <w:r>
        <w:t xml:space="preserve">1.9 What is our overall judgement for Task 4?</w:t>
      </w:r>
    </w:p>
    <w:p>
      <w:pPr>
        <w:pStyle w:val="ListParagraph"/>
        <w:numPr>
          <w:ilvl w:val="0"/>
          <w:numId w:val="2"/>
        </w:numPr>
        <w:spacing w:after="80" w:line="276"/>
        <w:jc w:val="both"/>
      </w:pPr>
      <w:r>
        <w:rPr>
          <w:b/>
          <w:bCs/>
        </w:rPr>
        <w:t xml:space="preserve">Input:</w:t>
      </w:r>
      <w:r>
        <w:t xml:space="preserve"> pixels → X gates (basis encoding) in </w:t>
      </w:r>
      <w:r>
        <w:rPr>
          <w:rFonts w:ascii="Consolas" w:cs="Consolas" w:eastAsia="Consolas" w:hAnsi="Consolas"/>
          <w:sz w:val="19"/>
          <w:szCs w:val="19"/>
        </w:rPr>
        <w:t xml:space="preserve">create_circuit</w:t>
      </w:r>
      <w:r>
        <w:t xml:space="preserve">; </w:t>
      </w:r>
      <w:r>
        <w:rPr>
          <w:b/>
          <w:bCs/>
        </w:rPr>
        <w:t xml:space="preserve">model:</w:t>
      </w:r>
      <w:r>
        <w:t xml:space="preserve"> 6 RY angles in a TTN of RY–RY–CNOT blocks; </w:t>
      </w:r>
      <w:r>
        <w:rPr>
          <w:b/>
          <w:bCs/>
        </w:rPr>
        <w:t xml:space="preserve">output:</w:t>
      </w:r>
      <w:r>
        <w:t xml:space="preserve"> P(q3 = 1).</w:t>
      </w:r>
    </w:p>
    <w:p>
      <w:pPr>
        <w:pStyle w:val="ListParagraph"/>
        <w:numPr>
          <w:ilvl w:val="0"/>
          <w:numId w:val="2"/>
        </w:numPr>
        <w:spacing w:after="80" w:line="276"/>
        <w:jc w:val="both"/>
      </w:pPr>
      <w:r>
        <w:rPr>
          <w:b/>
          <w:bCs/>
        </w:rPr>
        <w:t xml:space="preserve">Monitoring:</w:t>
      </w:r>
      <w:r>
        <w:t xml:space="preserve"> the loss fell from 0.50 to 0.00 in 100 iterations; time per iteration was flat at about 0.6 s.</w:t>
      </w:r>
    </w:p>
    <w:p>
      <w:pPr>
        <w:pStyle w:val="ListParagraph"/>
        <w:numPr>
          <w:ilvl w:val="0"/>
          <w:numId w:val="2"/>
        </w:numPr>
        <w:spacing w:after="80" w:line="276"/>
        <w:jc w:val="both"/>
      </w:pPr>
      <w:r>
        <w:rPr>
          <w:b/>
          <w:bCs/>
        </w:rPr>
        <w:t xml:space="preserve">Efficiency:</w:t>
      </w:r>
      <w:r>
        <w:t xml:space="preserve"> at 4 qubits, simulation without the device is about 470 times faster; real devices only pay off where simulation is impossible.</w:t>
      </w:r>
    </w:p>
    <w:p>
      <w:pPr>
        <w:pStyle w:val="ListParagraph"/>
        <w:numPr>
          <w:ilvl w:val="0"/>
          <w:numId w:val="2"/>
        </w:numPr>
        <w:spacing w:after="80" w:line="276"/>
        <w:jc w:val="both"/>
      </w:pPr>
      <w:r>
        <w:rPr>
          <w:b/>
          <w:bCs/>
        </w:rPr>
        <w:t xml:space="preserve">Effectiveness:</w:t>
      </w:r>
      <w:r>
        <w:t xml:space="preserve"> the circuit solved an XOR-type problem that linear classical models could not. This comes from its CNOT structure, not from a proven quantum advantage (Benedetti et al., 2019).</w:t>
      </w:r>
    </w:p>
    <w:p>
      <w:pPr>
        <w:pStyle w:val="Heading1"/>
      </w:pPr>
      <w:r>
        <w:t xml:space="preserve">References</w:t>
      </w:r>
    </w:p>
    <w:p>
      <w:pPr>
        <w:spacing w:after="120" w:line="276"/>
        <w:ind w:left="720" w:hanging="720"/>
      </w:pPr>
      <w:r>
        <w:t xml:space="preserve">Bahrami, H. (2026c). </w:t>
      </w:r>
      <w:r>
        <w:rPr>
          <w:i/>
          <w:iCs/>
        </w:rPr>
        <w:t xml:space="preserve">Lab 10 — Quantum ML</w:t>
      </w:r>
      <w:r>
        <w:t xml:space="preserve"> [Unpublished Jupyter notebook, Quantum_ML_AS2.ipynb]. MSE802 Quantum Computing, Yoobee College of Creative Innovation.</w:t>
      </w:r>
    </w:p>
    <w:p>
      <w:pPr>
        <w:spacing w:after="120" w:line="276"/>
        <w:ind w:left="720" w:hanging="720"/>
      </w:pPr>
      <w:r>
        <w:t xml:space="preserve">Benedetti, M., Lloyd, E., Sack, S., &amp; Fiorentini, M. (2019). Parameterized quantum circuits as machine learning models. </w:t>
      </w:r>
      <w:r>
        <w:rPr>
          <w:i/>
          <w:iCs/>
        </w:rPr>
        <w:t xml:space="preserve">Quantum Science and Technology, 4</w:t>
      </w:r>
      <w:r>
        <w:t xml:space="preserve">(4), Article 043001. https://doi.org/10.1088/2058-9565/ab4eb5</w:t>
      </w:r>
    </w:p>
    <w:p>
      <w:pPr>
        <w:spacing w:after="120" w:line="276"/>
        <w:ind w:left="720" w:hanging="720"/>
      </w:pPr>
      <w:r>
        <w:t xml:space="preserve">Grant, E., Benedetti, M., Cao, S., Hallam, A., Lockhart, J., Stojevic, V., Green, A. G., &amp; Severini, S. (2018). Hierarchical quantum classifiers. </w:t>
      </w:r>
      <w:r>
        <w:rPr>
          <w:i/>
          <w:iCs/>
        </w:rPr>
        <w:t xml:space="preserve">npj Quantum Information, 4</w:t>
      </w:r>
      <w:r>
        <w:t xml:space="preserve">, Article 65. https://doi.org/10.1038/s41534-018-0116-9</w:t>
      </w:r>
    </w:p>
    <w:p>
      <w:pPr>
        <w:spacing w:after="120" w:line="276"/>
        <w:ind w:left="720" w:hanging="720"/>
      </w:pPr>
      <w:r>
        <w:t xml:space="preserve">Huggins, W., Patil, P., Mitchell, B., Whaley, K. B., &amp; Stoudenmire, E. M. (2019). Towards quantum machine learning with tensor networks. </w:t>
      </w:r>
      <w:r>
        <w:rPr>
          <w:i/>
          <w:iCs/>
        </w:rPr>
        <w:t xml:space="preserve">Quantum Science and Technology, 4</w:t>
      </w:r>
      <w:r>
        <w:t xml:space="preserve">(2), Article 024001. https://doi.org/10.1088/2058-9565/aaea94</w:t>
      </w:r>
    </w:p>
    <w:p>
      <w:pPr>
        <w:spacing w:after="120" w:line="276"/>
        <w:ind w:left="720" w:hanging="720"/>
      </w:pPr>
      <w:r>
        <w:t xml:space="preserve">McClean, J. R., Boixo, S., Smelyanskiy, V. N., Babbush, R., &amp; Neven, H. (2018). Barren plateaus in quantum neural network training landscapes. </w:t>
      </w:r>
      <w:r>
        <w:rPr>
          <w:i/>
          <w:iCs/>
        </w:rPr>
        <w:t xml:space="preserve">Nature Communications, 9</w:t>
      </w:r>
      <w:r>
        <w:t xml:space="preserve">, Article 4812. https://doi.org/10.1038/s41467-018-07090-4</w:t>
      </w:r>
    </w:p>
    <w:p>
      <w:pPr>
        <w:spacing w:after="120" w:line="276"/>
        <w:ind w:left="720" w:hanging="720"/>
      </w:pPr>
      <w:r>
        <w:t xml:space="preserve">Minsky, M., &amp; Papert, S. (1969). </w:t>
      </w:r>
      <w:r>
        <w:rPr>
          <w:i/>
          <w:iCs/>
        </w:rPr>
        <w:t xml:space="preserve">Perceptrons: An introduction to computational geometry</w:t>
      </w:r>
      <w:r>
        <w:t xml:space="preserve">. MIT Press.</w:t>
      </w:r>
    </w:p>
    <w:p>
      <w:pPr>
        <w:spacing w:after="120" w:line="276"/>
        <w:ind w:left="720" w:hanging="720"/>
      </w:pPr>
      <w:r>
        <w:t xml:space="preserve">Nelder, J. A., &amp; Mead, R. (1965). A simplex method for function minimization. </w:t>
      </w:r>
      <w:r>
        <w:rPr>
          <w:i/>
          <w:iCs/>
        </w:rPr>
        <w:t xml:space="preserve">The Computer Journal, 7</w:t>
      </w:r>
      <w:r>
        <w:t xml:space="preserve">(4), 308–313. https://doi.org/10.1093/comjnl/7.4.308</w:t>
      </w:r>
    </w:p>
    <w:p>
      <w:pPr>
        <w:spacing w:after="120" w:line="276"/>
        <w:ind w:left="720" w:hanging="720"/>
      </w:pPr>
      <w:r>
        <w:t xml:space="preserve">Schuld, M., &amp; Petruccione, F. (2021). </w:t>
      </w:r>
      <w:r>
        <w:rPr>
          <w:i/>
          <w:iCs/>
        </w:rPr>
        <w:t xml:space="preserve">Machine learning with quantum computers</w:t>
      </w:r>
      <w:r>
        <w:t xml:space="preserve"> (2nd ed.). Springer. https://doi.org/10.1007/978-3-030-83098-4</w:t>
      </w:r>
    </w:p>
    <w:p>
      <w:pPr>
        <w:spacing w:after="120" w:line="276"/>
        <w:ind w:left="720" w:hanging="720"/>
      </w:pPr>
      <w:r>
        <w:t xml:space="preserve">Spall, J. C. (1992). Multivariate stochastic approximation using a simultaneous perturbation gradient approximation. </w:t>
      </w:r>
      <w:r>
        <w:rPr>
          <w:i/>
          <w:iCs/>
        </w:rPr>
        <w:t xml:space="preserve">IEEE Transactions on Automatic Control, 37</w:t>
      </w:r>
      <w:r>
        <w:t xml:space="preserve">(3), 332–341. https://doi.org/10.1109/9.119632</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b60feaf30fa6c710a635ea480d5ca2c26494aa3.png"/><Relationship Id="rId10" Type="http://schemas.openxmlformats.org/officeDocument/2006/relationships/image" Target="media/b2e8d6614697f73f6e0e8caa2be61f7755ce9d92.png"/><Relationship Id="rId11" Type="http://schemas.openxmlformats.org/officeDocument/2006/relationships/image" Target="media/ad2024352c49eded7cad0acc55b51713d34ba19f.png"/><Relationship Id="rId12" Type="http://schemas.openxmlformats.org/officeDocument/2006/relationships/image" Target="media/ab66c68318961f5969ff707623ab84c528bdddea.png"/><Relationship Id="rId13" Type="http://schemas.openxmlformats.org/officeDocument/2006/relationships/image" Target="media/714359c9552d9f79e0bf4d0b5bc6a6e21e7b4d8d.png"/><Relationship Id="rId14" Type="http://schemas.openxmlformats.org/officeDocument/2006/relationships/image" Target="media/ef43bd50c698f91a8fcde4f16f0eec536d2f1ee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2026-10-30T13:37:06.617Z</dcterms:created>
  <dcterms:modified xsi:type="dcterms:W3CDTF">2026-10-30T13:37:06.618Z</dcterms:modified>
</cp:coreProperties>
</file>

<file path=docProps/custom.xml><?xml version="1.0" encoding="utf-8"?>
<Properties xmlns="http://schemas.openxmlformats.org/officeDocument/2006/custom-properties" xmlns:vt="http://schemas.openxmlformats.org/officeDocument/2006/docPropsVTypes"/>
</file>