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4E79"/>
          <w:sz w:val="36"/>
          <w:szCs w:val="36"/>
        </w:rPr>
        <w:t xml:space="preserve">Proposal: Two Patna Inter-College Events, Jan–Mar 2027</w:t>
      </w:r>
    </w:p>
    <w:p>
      <w:pPr>
        <w:pBdr>
          <w:bottom w:val="single" w:color="1F4E79" w:sz="8" w:space="6"/>
        </w:pBdr>
        <w:spacing w:after="240"/>
      </w:pPr>
      <w:r>
        <w:rPr>
          <w:rFonts w:ascii="Calibri" w:cs="Calibri" w:eastAsia="Calibri" w:hAnsi="Calibri"/>
          <w:color w:val="595959"/>
          <w:sz w:val="19"/>
          <w:szCs w:val="19"/>
        </w:rPr>
        <w:t xml:space="preserve">For management approval  •  Amity University Patna  •  12 Oct 2026</w:t>
      </w:r>
    </w:p>
    <w:p>
      <w:pPr>
        <w:pStyle w:val="Heading1"/>
        <w:keepNext/>
        <w:spacing w:after="120" w:before="280"/>
      </w:pPr>
      <w:r>
        <w:rPr>
          <w:rFonts w:ascii="Calibri" w:cs="Calibri" w:eastAsia="Calibri" w:hAnsi="Calibri"/>
          <w:b/>
          <w:bCs/>
          <w:color w:val="1F4E79"/>
          <w:sz w:val="26"/>
          <w:szCs w:val="26"/>
        </w:rPr>
        <w:t xml:space="preserve">1. The proposal in brief</w:t>
      </w:r>
    </w:p>
    <w:p>
      <w:pPr>
        <w:spacing w:after="100"/>
      </w:pPr>
      <w:r>
        <w:rPr>
          <w:rFonts w:ascii="Calibri" w:cs="Calibri" w:eastAsia="Calibri" w:hAnsi="Calibri"/>
          <w:sz w:val="20"/>
          <w:szCs w:val="20"/>
        </w:rPr>
        <w:t xml:space="preserve">We propose </w:t>
      </w:r>
      <w:r>
        <w:rPr>
          <w:rFonts w:ascii="Calibri" w:cs="Calibri" w:eastAsia="Calibri" w:hAnsi="Calibri"/>
          <w:b/>
          <w:bCs/>
          <w:sz w:val="20"/>
          <w:szCs w:val="20"/>
        </w:rPr>
        <w:t xml:space="preserve">two events open to every college in Patna</w:t>
      </w:r>
      <w:r>
        <w:rPr>
          <w:rFonts w:ascii="Calibri" w:cs="Calibri" w:eastAsia="Calibri" w:hAnsi="Calibri"/>
          <w:sz w:val="20"/>
          <w:szCs w:val="20"/>
        </w:rPr>
        <w:t xml:space="preserve">, run at Amity Patna in the even semester. Their purpose is to make Amity Patna the place where Patna's students meet employers, which strengthens our placements and our name in the city.</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199"/>
        <w:gridCol w:w="6599"/>
        <w:gridCol w:w="6600"/>
      </w:tblGrid>
      <w:tr>
        <w:trPr>
          <w:tblHeader/>
        </w:trPr>
        <w:tc>
          <w:tcPr>
            <w:tcW w:type="dxa" w:w="21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tc>
        <w:tc>
          <w:tcPr>
            <w:tcW w:type="dxa" w:w="65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Event A – Code &amp; Idea Day</w:t>
            </w:r>
          </w:p>
        </w:tc>
        <w:tc>
          <w:tcPr>
            <w:tcW w:type="dxa" w:w="6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Event B – Inter-College Hackathon</w:t>
            </w:r>
          </w:p>
        </w:tc>
      </w:tr>
      <w:tr>
        <w:trPr>
          <w:cantSplit/>
        </w:trPr>
        <w:tc>
          <w:tcPr>
            <w:tcW w:type="dxa" w:w="21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When</w:t>
            </w:r>
          </w:p>
        </w:tc>
        <w:tc>
          <w:tcPr>
            <w:tcW w:type="dxa" w:w="65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Sat 16 Jan 2027 (online prelim Sun 10 Jan) – early in the 4th semester</w:t>
            </w:r>
          </w:p>
        </w:tc>
        <w:tc>
          <w:tcPr>
            <w:tcW w:type="dxa" w:w="6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Sat–Sun 27–28 Mar 2027 – after mid-terms</w:t>
            </w:r>
          </w:p>
        </w:tc>
      </w:tr>
      <w:tr>
        <w:trPr>
          <w:cantSplit/>
        </w:trPr>
        <w:tc>
          <w:tcPr>
            <w:tcW w:type="dxa" w:w="21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Format</w:t>
            </w:r>
          </w:p>
        </w:tc>
        <w:tc>
          <w:tcPr>
            <w:tcW w:type="dxa" w:w="65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 day: coding contest, idea pitch, CV clinic and mock interviews, hiring talk</w:t>
            </w:r>
          </w:p>
        </w:tc>
        <w:tc>
          <w:tcPr>
            <w:tcW w:type="dxa" w:w="66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24-hour hackathon on problem statements set by companies; hiring desk</w:t>
            </w:r>
          </w:p>
        </w:tc>
      </w:tr>
      <w:tr>
        <w:trPr>
          <w:cantSplit/>
        </w:trPr>
        <w:tc>
          <w:tcPr>
            <w:tcW w:type="dxa" w:w="21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Who</w:t>
            </w:r>
          </w:p>
        </w:tc>
        <w:tc>
          <w:tcPr>
            <w:tcW w:type="dxa" w:w="65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Students of 15+ Patna colleges</w:t>
            </w:r>
          </w:p>
        </w:tc>
        <w:tc>
          <w:tcPr>
            <w:tcW w:type="dxa" w:w="6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Teams from 15+ Patna colleges</w:t>
            </w:r>
          </w:p>
        </w:tc>
      </w:tr>
      <w:tr>
        <w:trPr>
          <w:cantSplit/>
        </w:trPr>
        <w:tc>
          <w:tcPr>
            <w:tcW w:type="dxa" w:w="21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Scale</w:t>
            </w:r>
          </w:p>
        </w:tc>
        <w:tc>
          <w:tcPr>
            <w:tcW w:type="dxa" w:w="65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400+ registrations, 200–250 on campus</w:t>
            </w:r>
          </w:p>
        </w:tc>
        <w:tc>
          <w:tcPr>
            <w:tcW w:type="dxa" w:w="66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300 registrations, 60–75 teams on campus</w:t>
            </w:r>
          </w:p>
        </w:tc>
      </w:tr>
      <w:tr>
        <w:trPr>
          <w:cantSplit/>
        </w:trPr>
        <w:tc>
          <w:tcPr>
            <w:tcW w:type="dxa" w:w="21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Companies</w:t>
            </w:r>
          </w:p>
        </w:tc>
        <w:tc>
          <w:tcPr>
            <w:tcW w:type="dxa" w:w="65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3–5 (judge, review CVs, interview top 10)</w:t>
            </w:r>
          </w:p>
        </w:tc>
        <w:tc>
          <w:tcPr>
            <w:tcW w:type="dxa" w:w="6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5–8 (set problems, judge, interview and make offers)</w:t>
            </w:r>
          </w:p>
        </w:tc>
      </w:tr>
      <w:tr>
        <w:trPr>
          <w:cantSplit/>
        </w:trPr>
        <w:tc>
          <w:tcPr>
            <w:tcW w:type="dxa" w:w="21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Budget</w:t>
            </w:r>
          </w:p>
        </w:tc>
        <w:tc>
          <w:tcPr>
            <w:tcW w:type="dxa" w:w="65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₹55,000–90,000 (sponsor target ₹25,000+)</w:t>
            </w:r>
          </w:p>
        </w:tc>
        <w:tc>
          <w:tcPr>
            <w:tcW w:type="dxa" w:w="66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₹1.2–1.8 lakh (sponsor target ₹60,000+)</w:t>
            </w:r>
          </w:p>
        </w:tc>
      </w:tr>
    </w:tbl>
    <w:p>
      <w:pPr>
        <w:spacing w:after="60"/>
      </w:pPr>
    </w:p>
    <w:p>
      <w:pPr>
        <w:spacing w:after="100"/>
      </w:pPr>
      <w:r>
        <w:rPr>
          <w:rFonts w:ascii="Calibri" w:cs="Calibri" w:eastAsia="Calibri" w:hAnsi="Calibri"/>
          <w:i/>
          <w:iCs/>
          <w:color w:val="595959"/>
          <w:sz w:val="18"/>
          <w:szCs w:val="18"/>
        </w:rPr>
        <w:t xml:space="preserve">Detailed working plans: Event_A_Code_and_Idea_Day_Plan.docx and Event_B_Inter_College_Hackathon_Plan.docx.</w:t>
      </w:r>
    </w:p>
    <w:p>
      <w:pPr>
        <w:pStyle w:val="Heading1"/>
        <w:keepNext/>
        <w:spacing w:after="120" w:before="280"/>
      </w:pPr>
      <w:r>
        <w:rPr>
          <w:rFonts w:ascii="Calibri" w:cs="Calibri" w:eastAsia="Calibri" w:hAnsi="Calibri"/>
          <w:b/>
          <w:bCs/>
          <w:color w:val="1F4E79"/>
          <w:sz w:val="26"/>
          <w:szCs w:val="26"/>
        </w:rPr>
        <w:t xml:space="preserve">2. Why these two events, and why these dates</w:t>
      </w:r>
    </w:p>
    <w:p>
      <w:pPr>
        <w:pStyle w:val="ListParagraph"/>
        <w:numPr>
          <w:ilvl w:val="0"/>
          <w:numId w:val="2"/>
        </w:numPr>
        <w:spacing w:after="50"/>
      </w:pPr>
      <w:r>
        <w:rPr>
          <w:rFonts w:ascii="Calibri" w:cs="Calibri" w:eastAsia="Calibri" w:hAnsi="Calibri"/>
          <w:b/>
          <w:bCs/>
          <w:sz w:val="20"/>
          <w:szCs w:val="20"/>
        </w:rPr>
        <w:t xml:space="preserve">Placements:</w:t>
      </w:r>
      <w:r>
        <w:rPr>
          <w:rFonts w:ascii="Calibri" w:cs="Calibri" w:eastAsia="Calibri" w:hAnsi="Calibri"/>
          <w:sz w:val="20"/>
          <w:szCs w:val="20"/>
        </w:rPr>
        <w:t xml:space="preserve"> every event ends with interviews or offers, and every company contact goes to the placement cell. Companies that meet students from 15+ colleges at Amity Patna are more likely to come to our campus recruitment.</w:t>
      </w:r>
    </w:p>
    <w:p>
      <w:pPr>
        <w:pStyle w:val="ListParagraph"/>
        <w:numPr>
          <w:ilvl w:val="0"/>
          <w:numId w:val="2"/>
        </w:numPr>
        <w:spacing w:after="50"/>
      </w:pPr>
      <w:r>
        <w:rPr>
          <w:rFonts w:ascii="Calibri" w:cs="Calibri" w:eastAsia="Calibri" w:hAnsi="Calibri"/>
          <w:b/>
          <w:bCs/>
          <w:sz w:val="20"/>
          <w:szCs w:val="20"/>
        </w:rPr>
        <w:t xml:space="preserve">No Amity Patna presence in the city yet:</w:t>
      </w:r>
      <w:r>
        <w:rPr>
          <w:rFonts w:ascii="Calibri" w:cs="Calibri" w:eastAsia="Calibri" w:hAnsi="Calibri"/>
          <w:sz w:val="20"/>
          <w:szCs w:val="20"/>
        </w:rPr>
        <w:t xml:space="preserve"> only IIT Patna runs large tech fests in Patna (Celesta, Anwesha). An inter-college event series that focuses on hiring sets us apart.</w:t>
      </w:r>
    </w:p>
    <w:p>
      <w:pPr>
        <w:pStyle w:val="ListParagraph"/>
        <w:numPr>
          <w:ilvl w:val="0"/>
          <w:numId w:val="2"/>
        </w:numPr>
        <w:spacing w:after="50"/>
      </w:pPr>
      <w:r>
        <w:rPr>
          <w:rFonts w:ascii="Calibri" w:cs="Calibri" w:eastAsia="Calibri" w:hAnsi="Calibri"/>
          <w:b/>
          <w:bCs/>
          <w:sz w:val="20"/>
          <w:szCs w:val="20"/>
        </w:rPr>
        <w:t xml:space="preserve">Jan 16:</w:t>
      </w:r>
      <w:r>
        <w:rPr>
          <w:rFonts w:ascii="Calibri" w:cs="Calibri" w:eastAsia="Calibri" w:hAnsi="Calibri"/>
          <w:sz w:val="20"/>
          <w:szCs w:val="20"/>
        </w:rPr>
        <w:t xml:space="preserve"> students are back in the new semester and not yet in exams; it comes before the late-January fest rush (Celesta, Elegante, Virasat).</w:t>
      </w:r>
    </w:p>
    <w:p>
      <w:pPr>
        <w:pStyle w:val="ListParagraph"/>
        <w:numPr>
          <w:ilvl w:val="0"/>
          <w:numId w:val="2"/>
        </w:numPr>
        <w:spacing w:after="50"/>
      </w:pPr>
      <w:r>
        <w:rPr>
          <w:rFonts w:ascii="Calibri" w:cs="Calibri" w:eastAsia="Calibri" w:hAnsi="Calibri"/>
          <w:b/>
          <w:bCs/>
          <w:sz w:val="20"/>
          <w:szCs w:val="20"/>
        </w:rPr>
        <w:t xml:space="preserve">Mar 27–28:</w:t>
      </w:r>
      <w:r>
        <w:rPr>
          <w:rFonts w:ascii="Calibri" w:cs="Calibri" w:eastAsia="Calibri" w:hAnsi="Calibri"/>
          <w:sz w:val="20"/>
          <w:szCs w:val="20"/>
        </w:rPr>
        <w:t xml:space="preserve"> after mid-terms and Holi, and before end-semester preparation. Two months after Event A, so the same college network and companies can be used again.</w:t>
      </w:r>
    </w:p>
    <w:p>
      <w:pPr>
        <w:pStyle w:val="ListParagraph"/>
        <w:numPr>
          <w:ilvl w:val="0"/>
          <w:numId w:val="2"/>
        </w:numPr>
        <w:spacing w:after="50"/>
      </w:pPr>
      <w:r>
        <w:rPr>
          <w:rFonts w:ascii="Calibri" w:cs="Calibri" w:eastAsia="Calibri" w:hAnsi="Calibri"/>
          <w:b/>
          <w:bCs/>
          <w:sz w:val="20"/>
          <w:szCs w:val="20"/>
        </w:rPr>
        <w:t xml:space="preserve">Step by step:</w:t>
      </w:r>
      <w:r>
        <w:rPr>
          <w:rFonts w:ascii="Calibri" w:cs="Calibri" w:eastAsia="Calibri" w:hAnsi="Calibri"/>
          <w:sz w:val="20"/>
          <w:szCs w:val="20"/>
        </w:rPr>
        <w:t xml:space="preserve"> Event A is low-risk (1 day, no overnight stay). Event B needs a separate approval after we report Event A's results.</w:t>
      </w:r>
    </w:p>
    <w:p>
      <w:pPr>
        <w:pStyle w:val="Heading1"/>
        <w:keepNext/>
        <w:spacing w:after="120" w:before="280"/>
      </w:pPr>
      <w:r>
        <w:rPr>
          <w:rFonts w:ascii="Calibri" w:cs="Calibri" w:eastAsia="Calibri" w:hAnsi="Calibri"/>
          <w:b/>
          <w:bCs/>
          <w:color w:val="1F4E79"/>
          <w:sz w:val="26"/>
          <w:szCs w:val="26"/>
        </w:rPr>
        <w:t xml:space="preserve">3. How we will reach every Patna college</w:t>
      </w:r>
    </w:p>
    <w:p>
      <w:pPr>
        <w:spacing w:after="100"/>
      </w:pPr>
      <w:r>
        <w:rPr>
          <w:rFonts w:ascii="Calibri" w:cs="Calibri" w:eastAsia="Calibri" w:hAnsi="Calibri"/>
          <w:sz w:val="20"/>
          <w:szCs w:val="20"/>
        </w:rPr>
        <w:t xml:space="preserve">Each college hears about the events from people inside it, not only from posters. We build a 4-layer contact network in every college in Oct–Nov 2026 and use it for both events.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152"/>
        <w:gridCol w:w="3311"/>
        <w:gridCol w:w="4967"/>
        <w:gridCol w:w="4968"/>
      </w:tblGrid>
      <w:tr>
        <w:trPr>
          <w:tblHeader/>
        </w:trPr>
        <w:tc>
          <w:tcPr>
            <w:tcW w:type="dxa" w:w="215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Layer</w:t>
            </w:r>
          </w:p>
        </w:tc>
        <w:tc>
          <w:tcPr>
            <w:tcW w:type="dxa" w:w="331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In every college</w:t>
            </w:r>
          </w:p>
        </w:tc>
        <w:tc>
          <w:tcPr>
            <w:tcW w:type="dxa" w:w="496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How we get them</w:t>
            </w:r>
          </w:p>
        </w:tc>
        <w:tc>
          <w:tcPr>
            <w:tcW w:type="dxa" w:w="496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What they do</w:t>
            </w:r>
          </w:p>
        </w:tc>
      </w:tr>
      <w:tr>
        <w:trPr>
          <w:cantSplit/>
        </w:trPr>
        <w:tc>
          <w:tcPr>
            <w:tcW w:type="dxa" w:w="21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Institution</w:t>
            </w:r>
          </w:p>
        </w:tc>
        <w:tc>
          <w:tcPr>
            <w:tcW w:type="dxa" w:w="33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Principal / Director</w:t>
            </w:r>
          </w:p>
        </w:tc>
        <w:tc>
          <w:tcPr>
            <w:tcW w:type="dxa" w:w="49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Letter from our Director + visit by the faculty convener</w:t>
            </w:r>
          </w:p>
        </w:tc>
        <w:tc>
          <w:tcPr>
            <w:tcW w:type="dxa" w:w="49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Allows the notice; names a faculty coordinator</w:t>
            </w:r>
          </w:p>
        </w:tc>
      </w:tr>
      <w:tr>
        <w:trPr>
          <w:cantSplit/>
        </w:trPr>
        <w:tc>
          <w:tcPr>
            <w:tcW w:type="dxa" w:w="215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Faculty coordinator</w:t>
            </w:r>
          </w:p>
        </w:tc>
        <w:tc>
          <w:tcPr>
            <w:tcW w:type="dxa" w:w="331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 teacher (CSE/IT/BCA)</w:t>
            </w:r>
          </w:p>
        </w:tc>
        <w:tc>
          <w:tcPr>
            <w:tcW w:type="dxa" w:w="496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Named during the visit</w:t>
            </w:r>
          </w:p>
        </w:tc>
        <w:tc>
          <w:tcPr>
            <w:tcW w:type="dxa" w:w="49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Class announcements, notice board, travels with teams</w:t>
            </w:r>
          </w:p>
        </w:tc>
      </w:tr>
      <w:tr>
        <w:trPr>
          <w:cantSplit/>
        </w:trPr>
        <w:tc>
          <w:tcPr>
            <w:tcW w:type="dxa" w:w="21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Student ambassadors</w:t>
            </w:r>
          </w:p>
        </w:tc>
        <w:tc>
          <w:tcPr>
            <w:tcW w:type="dxa" w:w="33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 students (30+ in all)</w:t>
            </w:r>
          </w:p>
        </w:tc>
        <w:tc>
          <w:tcPr>
            <w:tcW w:type="dxa" w:w="49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Coding clubs, IEEE/GDG chapters, LinkedIn</w:t>
            </w:r>
          </w:p>
        </w:tc>
        <w:tc>
          <w:tcPr>
            <w:tcW w:type="dxa" w:w="49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Class WhatsApp groups, posters, info talks, team forming</w:t>
            </w:r>
          </w:p>
        </w:tc>
      </w:tr>
      <w:tr>
        <w:trPr>
          <w:cantSplit/>
        </w:trPr>
        <w:tc>
          <w:tcPr>
            <w:tcW w:type="dxa" w:w="215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Clubs and groups</w:t>
            </w:r>
          </w:p>
        </w:tc>
        <w:tc>
          <w:tcPr>
            <w:tcW w:type="dxa" w:w="331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Coding clubs, E-cells, NSS/NCC</w:t>
            </w:r>
          </w:p>
        </w:tc>
        <w:tc>
          <w:tcPr>
            <w:tcW w:type="dxa" w:w="496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Through ambassadors</w:t>
            </w:r>
          </w:p>
        </w:tc>
        <w:tc>
          <w:tcPr>
            <w:tcW w:type="dxa" w:w="49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Bring whole clubs as teams</w:t>
            </w:r>
          </w:p>
        </w:tc>
      </w:tr>
    </w:tbl>
    <w:p>
      <w:pPr>
        <w:spacing w:after="60"/>
      </w:pPr>
    </w:p>
    <w:p>
      <w:pPr>
        <w:pStyle w:val="Heading2"/>
        <w:keepNext/>
        <w:spacing w:after="80" w:before="160"/>
      </w:pPr>
      <w:r>
        <w:rPr>
          <w:rFonts w:ascii="Calibri" w:cs="Calibri" w:eastAsia="Calibri" w:hAnsi="Calibri"/>
          <w:b/>
          <w:bCs/>
          <w:color w:val="1F4E79"/>
          <w:sz w:val="21"/>
          <w:szCs w:val="21"/>
        </w:rPr>
        <w:t xml:space="preserve">Colleges to cover (15+)</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79"/>
        <w:gridCol w:w="12319"/>
      </w:tblGrid>
      <w:tr>
        <w:trPr>
          <w:tblHeader/>
        </w:trPr>
        <w:tc>
          <w:tcPr>
            <w:tcW w:type="dxa" w:w="307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Group</w:t>
            </w:r>
          </w:p>
        </w:tc>
        <w:tc>
          <w:tcPr>
            <w:tcW w:type="dxa" w:w="1231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Colleges</w:t>
            </w:r>
          </w:p>
        </w:tc>
      </w:tr>
      <w:tr>
        <w:trPr>
          <w:cantSplit/>
        </w:trPr>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Engineering / tech</w:t>
            </w:r>
          </w:p>
        </w:tc>
        <w:tc>
          <w:tcPr>
            <w:tcW w:type="dxa" w:w="12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NIT Patna • IIT Patna (Bihta) • BIT Mesra Patna campus • NSIT Bihta • Maulana Azad College of Engineering &amp; Technology</w:t>
            </w:r>
          </w:p>
        </w:tc>
      </w:tr>
      <w:tr>
        <w:trPr>
          <w:cantSplit/>
        </w:trPr>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Patna University colleges</w:t>
            </w:r>
          </w:p>
        </w:tc>
        <w:tc>
          <w:tcPr>
            <w:tcW w:type="dxa" w:w="123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Patna Science College • Patna College • B.N. College • Magadh Mahila College • Patna Women's College</w:t>
            </w:r>
          </w:p>
        </w:tc>
      </w:tr>
      <w:tr>
        <w:trPr>
          <w:cantSplit/>
        </w:trPr>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Other degree colleges (BCA/BBA)</w:t>
            </w:r>
          </w:p>
        </w:tc>
        <w:tc>
          <w:tcPr>
            <w:tcW w:type="dxa" w:w="123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A.N. College • College of Commerce, Arts &amp; Science • St. Xavier's College of Management &amp; Technology • J.D. Women's College • Arvind Mahila College</w:t>
            </w:r>
          </w:p>
        </w:tc>
      </w:tr>
      <w:tr>
        <w:trPr>
          <w:cantSplit/>
        </w:trPr>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Management / design</w:t>
            </w:r>
          </w:p>
        </w:tc>
        <w:tc>
          <w:tcPr>
            <w:tcW w:type="dxa" w:w="123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Chandragupt Institute of Management Patna • NIFT Patna</w:t>
            </w:r>
          </w:p>
        </w:tc>
      </w:tr>
    </w:tbl>
    <w:p>
      <w:pPr>
        <w:spacing w:after="60"/>
      </w:pPr>
    </w:p>
    <w:p>
      <w:pPr>
        <w:pStyle w:val="Heading1"/>
        <w:keepNext/>
        <w:spacing w:after="120" w:before="280"/>
      </w:pPr>
      <w:r>
        <w:rPr>
          <w:rFonts w:ascii="Calibri" w:cs="Calibri" w:eastAsia="Calibri" w:hAnsi="Calibri"/>
          <w:b/>
          <w:bCs/>
          <w:color w:val="1F4E79"/>
          <w:sz w:val="26"/>
          <w:szCs w:val="26"/>
        </w:rPr>
        <w:t xml:space="preserve">4. How we keep participants engaged (Oct 2026 – Apr 2027)</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152"/>
        <w:gridCol w:w="8278"/>
        <w:gridCol w:w="4968"/>
      </w:tblGrid>
      <w:tr>
        <w:trPr>
          <w:tblHeader/>
        </w:trPr>
        <w:tc>
          <w:tcPr>
            <w:tcW w:type="dxa" w:w="215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Period</w:t>
            </w:r>
          </w:p>
        </w:tc>
        <w:tc>
          <w:tcPr>
            <w:tcW w:type="dxa" w:w="827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Engagement activity</w:t>
            </w:r>
          </w:p>
        </w:tc>
        <w:tc>
          <w:tcPr>
            <w:tcW w:type="dxa" w:w="496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Result we look for</w:t>
            </w:r>
          </w:p>
        </w:tc>
      </w:tr>
      <w:tr>
        <w:trPr>
          <w:cantSplit/>
        </w:trPr>
        <w:tc>
          <w:tcPr>
            <w:tcW w:type="dxa" w:w="21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Oct – Nov 2026</w:t>
            </w:r>
          </w:p>
        </w:tc>
        <w:tc>
          <w:tcPr>
            <w:tcW w:type="dxa" w:w="82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Visit 15+ colleges; faculty coordinators and 30+ ambassadors on board; companies invited</w:t>
            </w:r>
          </w:p>
        </w:tc>
        <w:tc>
          <w:tcPr>
            <w:tcW w:type="dxa" w:w="49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Every college has a coordinator and 2 ambassadors</w:t>
            </w:r>
          </w:p>
        </w:tc>
      </w:tr>
      <w:tr>
        <w:trPr>
          <w:cantSplit/>
        </w:trPr>
        <w:tc>
          <w:tcPr>
            <w:tcW w:type="dxa" w:w="215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30 Nov – 9 Jan</w:t>
            </w:r>
          </w:p>
        </w:tc>
        <w:tc>
          <w:tcPr>
            <w:tcW w:type="dxa" w:w="82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Event A registration; 2 free online practice contests (13 Dec, 3 Jan); pitch webinar (6 Jan); weekly college-wise sign-up board</w:t>
            </w:r>
          </w:p>
        </w:tc>
        <w:tc>
          <w:tcPr>
            <w:tcW w:type="dxa" w:w="49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400+ registrations from 15+ colleges</w:t>
            </w:r>
          </w:p>
        </w:tc>
      </w:tr>
      <w:tr>
        <w:trPr>
          <w:cantSplit/>
        </w:trPr>
        <w:tc>
          <w:tcPr>
            <w:tcW w:type="dxa" w:w="21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10 – 16 Jan</w:t>
            </w:r>
          </w:p>
        </w:tc>
        <w:tc>
          <w:tcPr>
            <w:tcW w:type="dxa" w:w="82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Online prelim open to all → on-campus finals, idea pitches, CV clinic for every student who comes</w:t>
            </w:r>
          </w:p>
        </w:tc>
        <w:tc>
          <w:tcPr>
            <w:tcW w:type="dxa" w:w="49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300+ take the prelim; 200–250 on campus</w:t>
            </w:r>
          </w:p>
        </w:tc>
      </w:tr>
      <w:tr>
        <w:trPr>
          <w:cantSplit/>
        </w:trPr>
        <w:tc>
          <w:tcPr>
            <w:tcW w:type="dxa" w:w="215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After Event A</w:t>
            </w:r>
          </w:p>
        </w:tc>
        <w:tc>
          <w:tcPr>
            <w:tcW w:type="dxa" w:w="82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Certificates and photos by college; top 10 interviews; all participants invited to Event B first</w:t>
            </w:r>
          </w:p>
        </w:tc>
        <w:tc>
          <w:tcPr>
            <w:tcW w:type="dxa" w:w="49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Interviews held; early Event B sign-ups</w:t>
            </w:r>
          </w:p>
        </w:tc>
      </w:tr>
      <w:tr>
        <w:trPr>
          <w:cantSplit/>
        </w:trPr>
        <w:tc>
          <w:tcPr>
            <w:tcW w:type="dxa" w:w="21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8 Feb – 24 Mar</w:t>
            </w:r>
          </w:p>
        </w:tc>
        <w:tc>
          <w:tcPr>
            <w:tcW w:type="dxa" w:w="82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Event B registration; online team matching (20 Feb); company problem statements revealed (week of 22 Feb); briefings in March</w:t>
            </w:r>
          </w:p>
        </w:tc>
        <w:tc>
          <w:tcPr>
            <w:tcW w:type="dxa" w:w="49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300 registrations; 60–75 teams</w:t>
            </w:r>
          </w:p>
        </w:tc>
      </w:tr>
      <w:tr>
        <w:trPr>
          <w:cantSplit/>
        </w:trPr>
        <w:tc>
          <w:tcPr>
            <w:tcW w:type="dxa" w:w="215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27–28 Mar</w:t>
            </w:r>
          </w:p>
        </w:tc>
        <w:tc>
          <w:tcPr>
            <w:tcW w:type="dxa" w:w="82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24 hours of building with company mentors; hiring desk; best college trophy</w:t>
            </w:r>
          </w:p>
        </w:tc>
        <w:tc>
          <w:tcPr>
            <w:tcW w:type="dxa" w:w="49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80%+ teams submit a working prototype</w:t>
            </w:r>
          </w:p>
        </w:tc>
      </w:tr>
      <w:tr>
        <w:trPr>
          <w:cantSplit/>
        </w:trPr>
        <w:tc>
          <w:tcPr>
            <w:tcW w:type="dxa" w:w="21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After Event B</w:t>
            </w:r>
          </w:p>
        </w:tc>
        <w:tc>
          <w:tcPr>
            <w:tcW w:type="dxa" w:w="82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Interviews and offers followed up; all teams invited to the next statewide event</w:t>
            </w:r>
          </w:p>
        </w:tc>
        <w:tc>
          <w:tcPr>
            <w:tcW w:type="dxa" w:w="49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Offers made; companies invited to campus placements</w:t>
            </w:r>
          </w:p>
        </w:tc>
      </w:tr>
    </w:tbl>
    <w:p>
      <w:pPr>
        <w:spacing w:after="60"/>
      </w:pPr>
    </w:p>
    <w:p>
      <w:pPr>
        <w:spacing w:after="100"/>
      </w:pPr>
      <w:r>
        <w:rPr>
          <w:rFonts w:ascii="Calibri" w:cs="Calibri" w:eastAsia="Calibri" w:hAnsi="Calibri"/>
          <w:i/>
          <w:iCs/>
          <w:color w:val="595959"/>
          <w:sz w:val="18"/>
          <w:szCs w:val="18"/>
        </w:rPr>
        <w:t xml:space="preserve">Each step has a number we check weekly (registrations by college, ambassador sign-ups, confirmations). If a college is behind, the outreach team visits it again.</w:t>
      </w:r>
    </w:p>
    <w:p>
      <w:pPr>
        <w:pStyle w:val="Heading1"/>
        <w:keepNext/>
        <w:spacing w:after="120" w:before="280"/>
      </w:pPr>
      <w:r>
        <w:rPr>
          <w:rFonts w:ascii="Calibri" w:cs="Calibri" w:eastAsia="Calibri" w:hAnsi="Calibri"/>
          <w:b/>
          <w:bCs/>
          <w:color w:val="1F4E79"/>
          <w:sz w:val="26"/>
          <w:szCs w:val="26"/>
        </w:rPr>
        <w:t xml:space="preserve">5. Results we commit to</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132"/>
        <w:gridCol w:w="3421"/>
        <w:gridCol w:w="3421"/>
        <w:gridCol w:w="3424"/>
      </w:tblGrid>
      <w:tr>
        <w:trPr>
          <w:tblHeader/>
        </w:trPr>
        <w:tc>
          <w:tcPr>
            <w:tcW w:type="dxa" w:w="513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Measure</w:t>
            </w:r>
          </w:p>
        </w:tc>
        <w:tc>
          <w:tcPr>
            <w:tcW w:type="dxa" w:w="342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Event A (16 Jan)</w:t>
            </w:r>
          </w:p>
        </w:tc>
        <w:tc>
          <w:tcPr>
            <w:tcW w:type="dxa" w:w="342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Event B (27–28 Mar)</w:t>
            </w:r>
          </w:p>
        </w:tc>
        <w:tc>
          <w:tcPr>
            <w:tcW w:type="dxa" w:w="342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Year total</w:t>
            </w:r>
          </w:p>
        </w:tc>
      </w:tr>
      <w:tr>
        <w:trPr>
          <w:cantSplit/>
        </w:trPr>
        <w:tc>
          <w:tcPr>
            <w:tcW w:type="dxa" w:w="51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Patna colleges that took part</w:t>
            </w:r>
          </w:p>
        </w:tc>
        <w:tc>
          <w:tcPr>
            <w:tcW w:type="dxa" w:w="342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15+</w:t>
            </w:r>
          </w:p>
        </w:tc>
        <w:tc>
          <w:tcPr>
            <w:tcW w:type="dxa" w:w="342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15+</w:t>
            </w:r>
          </w:p>
        </w:tc>
        <w:tc>
          <w:tcPr>
            <w:tcW w:type="dxa" w:w="34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15+ (same network)</w:t>
            </w:r>
          </w:p>
        </w:tc>
      </w:tr>
      <w:tr>
        <w:trPr>
          <w:cantSplit/>
        </w:trPr>
        <w:tc>
          <w:tcPr>
            <w:tcW w:type="dxa" w:w="51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Students registered</w:t>
            </w:r>
          </w:p>
        </w:tc>
        <w:tc>
          <w:tcPr>
            <w:tcW w:type="dxa" w:w="342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400+</w:t>
            </w:r>
          </w:p>
        </w:tc>
        <w:tc>
          <w:tcPr>
            <w:tcW w:type="dxa" w:w="342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300</w:t>
            </w:r>
          </w:p>
        </w:tc>
        <w:tc>
          <w:tcPr>
            <w:tcW w:type="dxa" w:w="342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500+ different students</w:t>
            </w:r>
          </w:p>
        </w:tc>
      </w:tr>
      <w:tr>
        <w:trPr>
          <w:cantSplit/>
        </w:trPr>
        <w:tc>
          <w:tcPr>
            <w:tcW w:type="dxa" w:w="51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Students on campus</w:t>
            </w:r>
          </w:p>
        </w:tc>
        <w:tc>
          <w:tcPr>
            <w:tcW w:type="dxa" w:w="342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200–250</w:t>
            </w:r>
          </w:p>
        </w:tc>
        <w:tc>
          <w:tcPr>
            <w:tcW w:type="dxa" w:w="342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240+</w:t>
            </w:r>
          </w:p>
        </w:tc>
        <w:tc>
          <w:tcPr>
            <w:tcW w:type="dxa" w:w="34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400+</w:t>
            </w:r>
          </w:p>
        </w:tc>
      </w:tr>
      <w:tr>
        <w:trPr>
          <w:cantSplit/>
        </w:trPr>
        <w:tc>
          <w:tcPr>
            <w:tcW w:type="dxa" w:w="51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Companies involved</w:t>
            </w:r>
          </w:p>
        </w:tc>
        <w:tc>
          <w:tcPr>
            <w:tcW w:type="dxa" w:w="342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3–5</w:t>
            </w:r>
          </w:p>
        </w:tc>
        <w:tc>
          <w:tcPr>
            <w:tcW w:type="dxa" w:w="342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5–8</w:t>
            </w:r>
          </w:p>
        </w:tc>
        <w:tc>
          <w:tcPr>
            <w:tcW w:type="dxa" w:w="342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8–10 different companies</w:t>
            </w:r>
          </w:p>
        </w:tc>
      </w:tr>
      <w:tr>
        <w:trPr>
          <w:cantSplit/>
        </w:trPr>
        <w:tc>
          <w:tcPr>
            <w:tcW w:type="dxa" w:w="51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Internship / job interviews given</w:t>
            </w:r>
          </w:p>
        </w:tc>
        <w:tc>
          <w:tcPr>
            <w:tcW w:type="dxa" w:w="342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10</w:t>
            </w:r>
          </w:p>
        </w:tc>
        <w:tc>
          <w:tcPr>
            <w:tcW w:type="dxa" w:w="342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15+</w:t>
            </w:r>
          </w:p>
        </w:tc>
        <w:tc>
          <w:tcPr>
            <w:tcW w:type="dxa" w:w="34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25+</w:t>
            </w:r>
          </w:p>
        </w:tc>
      </w:tr>
      <w:tr>
        <w:trPr>
          <w:cantSplit/>
        </w:trPr>
        <w:tc>
          <w:tcPr>
            <w:tcW w:type="dxa" w:w="51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Offers made (internships, PPIs, fast-tracks)</w:t>
            </w:r>
          </w:p>
        </w:tc>
        <w:tc>
          <w:tcPr>
            <w:tcW w:type="dxa" w:w="342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track</w:t>
            </w:r>
          </w:p>
        </w:tc>
        <w:tc>
          <w:tcPr>
            <w:tcW w:type="dxa" w:w="342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5+</w:t>
            </w:r>
          </w:p>
        </w:tc>
        <w:tc>
          <w:tcPr>
            <w:tcW w:type="dxa" w:w="342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5–10</w:t>
            </w:r>
          </w:p>
        </w:tc>
      </w:tr>
      <w:tr>
        <w:trPr>
          <w:cantSplit/>
        </w:trPr>
        <w:tc>
          <w:tcPr>
            <w:tcW w:type="dxa" w:w="51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New companies that later come for campus placements</w:t>
            </w:r>
          </w:p>
        </w:tc>
        <w:tc>
          <w:tcPr>
            <w:tcW w:type="dxa" w:w="342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w:t>
            </w:r>
          </w:p>
        </w:tc>
        <w:tc>
          <w:tcPr>
            <w:tcW w:type="dxa" w:w="342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2–3</w:t>
            </w:r>
          </w:p>
        </w:tc>
        <w:tc>
          <w:tcPr>
            <w:tcW w:type="dxa" w:w="34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3–5</w:t>
            </w:r>
          </w:p>
        </w:tc>
      </w:tr>
      <w:tr>
        <w:trPr>
          <w:cantSplit/>
        </w:trPr>
        <w:tc>
          <w:tcPr>
            <w:tcW w:type="dxa" w:w="51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CVs reviewed / mock interviews (Event A)</w:t>
            </w:r>
          </w:p>
        </w:tc>
        <w:tc>
          <w:tcPr>
            <w:tcW w:type="dxa" w:w="342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150 / 40</w:t>
            </w:r>
          </w:p>
        </w:tc>
        <w:tc>
          <w:tcPr>
            <w:tcW w:type="dxa" w:w="342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w:t>
            </w:r>
          </w:p>
        </w:tc>
        <w:tc>
          <w:tcPr>
            <w:tcW w:type="dxa" w:w="342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150 / 40</w:t>
            </w:r>
          </w:p>
        </w:tc>
      </w:tr>
      <w:tr>
        <w:trPr>
          <w:cantSplit/>
        </w:trPr>
        <w:tc>
          <w:tcPr>
            <w:tcW w:type="dxa" w:w="51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Sponsor money and in-kind support</w:t>
            </w:r>
          </w:p>
        </w:tc>
        <w:tc>
          <w:tcPr>
            <w:tcW w:type="dxa" w:w="342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₹25,000+</w:t>
            </w:r>
          </w:p>
        </w:tc>
        <w:tc>
          <w:tcPr>
            <w:tcW w:type="dxa" w:w="342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₹60,000+</w:t>
            </w:r>
          </w:p>
        </w:tc>
        <w:tc>
          <w:tcPr>
            <w:tcW w:type="dxa" w:w="34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₹85,000+</w:t>
            </w:r>
          </w:p>
        </w:tc>
      </w:tr>
      <w:tr>
        <w:trPr>
          <w:cantSplit/>
        </w:trPr>
        <w:tc>
          <w:tcPr>
            <w:tcW w:type="dxa" w:w="51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Participant and company feedback (out of 5)</w:t>
            </w:r>
          </w:p>
        </w:tc>
        <w:tc>
          <w:tcPr>
            <w:tcW w:type="dxa" w:w="342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w:t>
            </w:r>
          </w:p>
        </w:tc>
        <w:tc>
          <w:tcPr>
            <w:tcW w:type="dxa" w:w="342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w:t>
            </w:r>
          </w:p>
        </w:tc>
        <w:tc>
          <w:tcPr>
            <w:tcW w:type="dxa" w:w="342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w:t>
            </w:r>
          </w:p>
        </w:tc>
      </w:tr>
      <w:tr>
        <w:trPr>
          <w:cantSplit/>
        </w:trPr>
        <w:tc>
          <w:tcPr>
            <w:tcW w:type="dxa" w:w="51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Media</w:t>
            </w:r>
          </w:p>
        </w:tc>
        <w:tc>
          <w:tcPr>
            <w:tcW w:type="dxa" w:w="342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2–3 local news mentions</w:t>
            </w:r>
          </w:p>
        </w:tc>
        <w:tc>
          <w:tcPr>
            <w:tcW w:type="dxa" w:w="342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1–2 local news stories</w:t>
            </w:r>
          </w:p>
        </w:tc>
        <w:tc>
          <w:tcPr>
            <w:tcW w:type="dxa" w:w="34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 stories; 40,000+ social views</w:t>
            </w:r>
          </w:p>
        </w:tc>
      </w:tr>
    </w:tbl>
    <w:p>
      <w:pPr>
        <w:spacing w:after="60"/>
      </w:pPr>
    </w:p>
    <w:p>
      <w:pPr>
        <w:spacing w:after="100"/>
      </w:pPr>
      <w:r>
        <w:rPr>
          <w:rFonts w:ascii="Calibri" w:cs="Calibri" w:eastAsia="Calibri" w:hAnsi="Calibri"/>
          <w:b/>
          <w:bCs/>
          <w:sz w:val="20"/>
          <w:szCs w:val="20"/>
        </w:rPr>
        <w:t xml:space="preserve">The most important row for management:</w:t>
      </w:r>
      <w:r>
        <w:rPr>
          <w:rFonts w:ascii="Calibri" w:cs="Calibri" w:eastAsia="Calibri" w:hAnsi="Calibri"/>
          <w:sz w:val="20"/>
          <w:szCs w:val="20"/>
        </w:rPr>
        <w:t xml:space="preserve"> new companies that later come to Amity Patna for campus placements. These targets are starting points; after Event A we will adjust Event B's targets using real numbers.</w:t>
      </w:r>
    </w:p>
    <w:p>
      <w:pPr>
        <w:pStyle w:val="Heading1"/>
        <w:keepNext/>
        <w:spacing w:after="120" w:before="280"/>
      </w:pPr>
      <w:r>
        <w:rPr>
          <w:rFonts w:ascii="Calibri" w:cs="Calibri" w:eastAsia="Calibri" w:hAnsi="Calibri"/>
          <w:b/>
          <w:bCs/>
          <w:color w:val="1F4E79"/>
          <w:sz w:val="26"/>
          <w:szCs w:val="26"/>
        </w:rPr>
        <w:t xml:space="preserve">6. How we report results</w:t>
      </w:r>
    </w:p>
    <w:p>
      <w:pPr>
        <w:pStyle w:val="ListParagraph"/>
        <w:numPr>
          <w:ilvl w:val="0"/>
          <w:numId w:val="2"/>
        </w:numPr>
        <w:spacing w:after="50"/>
      </w:pPr>
      <w:r>
        <w:rPr>
          <w:rFonts w:ascii="Calibri" w:cs="Calibri" w:eastAsia="Calibri" w:hAnsi="Calibri"/>
          <w:b/>
          <w:bCs/>
          <w:sz w:val="20"/>
          <w:szCs w:val="20"/>
        </w:rPr>
        <w:t xml:space="preserve">One-page results sheet</w:t>
      </w:r>
      <w:r>
        <w:rPr>
          <w:rFonts w:ascii="Calibri" w:cs="Calibri" w:eastAsia="Calibri" w:hAnsi="Calibri"/>
          <w:sz w:val="20"/>
          <w:szCs w:val="20"/>
        </w:rPr>
        <w:t xml:space="preserve"> within 10 days of each event (Event A: by 25 Jan; Event B: by 12 Apr): targets against actual numbers, photos, quotes from companies and visiting faculty, cost per participant, money raised, what went wrong, and what we will change.</w:t>
      </w:r>
    </w:p>
    <w:p>
      <w:pPr>
        <w:pStyle w:val="ListParagraph"/>
        <w:numPr>
          <w:ilvl w:val="0"/>
          <w:numId w:val="2"/>
        </w:numPr>
        <w:spacing w:after="50"/>
      </w:pPr>
      <w:r>
        <w:rPr>
          <w:rFonts w:ascii="Calibri" w:cs="Calibri" w:eastAsia="Calibri" w:hAnsi="Calibri"/>
          <w:b/>
          <w:bCs/>
          <w:sz w:val="20"/>
          <w:szCs w:val="20"/>
        </w:rPr>
        <w:t xml:space="preserve">College-wise view:</w:t>
      </w:r>
      <w:r>
        <w:rPr>
          <w:rFonts w:ascii="Calibri" w:cs="Calibri" w:eastAsia="Calibri" w:hAnsi="Calibri"/>
          <w:sz w:val="20"/>
          <w:szCs w:val="20"/>
        </w:rPr>
        <w:t xml:space="preserve"> participants and winners from each college, to show how far the events reached across Patna.</w:t>
      </w:r>
    </w:p>
    <w:p>
      <w:pPr>
        <w:pStyle w:val="ListParagraph"/>
        <w:numPr>
          <w:ilvl w:val="0"/>
          <w:numId w:val="2"/>
        </w:numPr>
        <w:spacing w:after="50"/>
      </w:pPr>
      <w:r>
        <w:rPr>
          <w:rFonts w:ascii="Calibri" w:cs="Calibri" w:eastAsia="Calibri" w:hAnsi="Calibri"/>
          <w:b/>
          <w:bCs/>
          <w:sz w:val="20"/>
          <w:szCs w:val="20"/>
        </w:rPr>
        <w:t xml:space="preserve">Company list for the placement cell:</w:t>
      </w:r>
      <w:r>
        <w:rPr>
          <w:rFonts w:ascii="Calibri" w:cs="Calibri" w:eastAsia="Calibri" w:hAnsi="Calibri"/>
          <w:sz w:val="20"/>
          <w:szCs w:val="20"/>
        </w:rPr>
        <w:t xml:space="preserve"> every company met, who came, and their hiring interest.</w:t>
      </w:r>
    </w:p>
    <w:p>
      <w:pPr>
        <w:pStyle w:val="ListParagraph"/>
        <w:numPr>
          <w:ilvl w:val="0"/>
          <w:numId w:val="2"/>
        </w:numPr>
        <w:spacing w:after="50"/>
      </w:pPr>
      <w:r>
        <w:rPr>
          <w:rFonts w:ascii="Calibri" w:cs="Calibri" w:eastAsia="Calibri" w:hAnsi="Calibri"/>
          <w:b/>
          <w:bCs/>
          <w:sz w:val="20"/>
          <w:szCs w:val="20"/>
        </w:rPr>
        <w:t xml:space="preserve">Year report (April 2027):</w:t>
      </w:r>
      <w:r>
        <w:rPr>
          <w:rFonts w:ascii="Calibri" w:cs="Calibri" w:eastAsia="Calibri" w:hAnsi="Calibri"/>
          <w:sz w:val="20"/>
          <w:szCs w:val="20"/>
        </w:rPr>
        <w:t xml:space="preserve"> both events together, and a recommendation on whether to take the series to Bihar level in Jul–Sep 2027.</w:t>
      </w:r>
    </w:p>
    <w:p>
      <w:pPr>
        <w:pStyle w:val="Heading1"/>
        <w:keepNext/>
        <w:spacing w:after="120" w:before="280"/>
      </w:pPr>
      <w:r>
        <w:rPr>
          <w:rFonts w:ascii="Calibri" w:cs="Calibri" w:eastAsia="Calibri" w:hAnsi="Calibri"/>
          <w:b/>
          <w:bCs/>
          <w:color w:val="1F4E79"/>
          <w:sz w:val="26"/>
          <w:szCs w:val="26"/>
        </w:rPr>
        <w:t xml:space="preserve">7. Budget and money</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961"/>
        <w:gridCol w:w="2220"/>
        <w:gridCol w:w="5922"/>
        <w:gridCol w:w="1924"/>
        <w:gridCol w:w="2371"/>
      </w:tblGrid>
      <w:tr>
        <w:trPr>
          <w:tblHeader/>
        </w:trPr>
        <w:tc>
          <w:tcPr>
            <w:tcW w:type="dxa" w:w="296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Event</w:t>
            </w:r>
          </w:p>
        </w:tc>
        <w:tc>
          <w:tcPr>
            <w:tcW w:type="dxa" w:w="222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Budget (estimate)</w:t>
            </w:r>
          </w:p>
        </w:tc>
        <w:tc>
          <w:tcPr>
            <w:tcW w:type="dxa" w:w="59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Main costs</w:t>
            </w:r>
          </w:p>
        </w:tc>
        <w:tc>
          <w:tcPr>
            <w:tcW w:type="dxa" w:w="192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Sponsor target</w:t>
            </w:r>
          </w:p>
        </w:tc>
        <w:tc>
          <w:tcPr>
            <w:tcW w:type="dxa" w:w="237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Net from Amity (estimate)</w:t>
            </w:r>
          </w:p>
        </w:tc>
      </w:tr>
      <w:tr>
        <w:trPr>
          <w:cantSplit/>
        </w:trPr>
        <w:tc>
          <w:tcPr>
            <w:tcW w:type="dxa" w:w="296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 – Code &amp; Idea Day</w:t>
            </w:r>
          </w:p>
        </w:tc>
        <w:tc>
          <w:tcPr>
            <w:tcW w:type="dxa" w:w="22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₹55,000–90,000</w:t>
            </w:r>
          </w:p>
        </w:tc>
        <w:tc>
          <w:tcPr>
            <w:tcW w:type="dxa" w:w="592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Food for 250, prizes, best college trophy, college visits, printing</w:t>
            </w:r>
          </w:p>
        </w:tc>
        <w:tc>
          <w:tcPr>
            <w:tcW w:type="dxa" w:w="19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₹25,000+</w:t>
            </w:r>
          </w:p>
        </w:tc>
        <w:tc>
          <w:tcPr>
            <w:tcW w:type="dxa" w:w="23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₹30,000–65,000</w:t>
            </w:r>
          </w:p>
        </w:tc>
      </w:tr>
      <w:tr>
        <w:trPr>
          <w:cantSplit/>
        </w:trPr>
        <w:tc>
          <w:tcPr>
            <w:tcW w:type="dxa" w:w="296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B – Inter-College Hackathon</w:t>
            </w:r>
          </w:p>
        </w:tc>
        <w:tc>
          <w:tcPr>
            <w:tcW w:type="dxa" w:w="222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₹1,20,000–1,80,000</w:t>
            </w:r>
          </w:p>
        </w:tc>
        <w:tc>
          <w:tcPr>
            <w:tcW w:type="dxa" w:w="59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Food for 24 hours (300 people), prizes, Wi-Fi/power backup, rest rooms, travel help</w:t>
            </w:r>
          </w:p>
        </w:tc>
        <w:tc>
          <w:tcPr>
            <w:tcW w:type="dxa" w:w="192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₹60,000+</w:t>
            </w:r>
          </w:p>
        </w:tc>
        <w:tc>
          <w:tcPr>
            <w:tcW w:type="dxa" w:w="237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₹60,000–1,20,000</w:t>
            </w:r>
          </w:p>
        </w:tc>
      </w:tr>
      <w:tr>
        <w:trPr>
          <w:cantSplit/>
        </w:trPr>
        <w:tc>
          <w:tcPr>
            <w:tcW w:type="dxa" w:w="296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6"/>
                <w:szCs w:val="16"/>
              </w:rPr>
              <w:t xml:space="preserve">Total</w:t>
            </w:r>
          </w:p>
        </w:tc>
        <w:tc>
          <w:tcPr>
            <w:tcW w:type="dxa" w:w="22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6"/>
                <w:szCs w:val="16"/>
              </w:rPr>
              <w:t xml:space="preserve">₹1.75–2.7 lakh</w:t>
            </w:r>
          </w:p>
        </w:tc>
        <w:tc>
          <w:tcPr>
            <w:tcW w:type="dxa" w:w="5922"/>
            <w:tcBorders>
              <w:top w:val="single" w:color="BFBFBF" w:sz="4"/>
              <w:left w:val="single" w:color="BFBFBF" w:sz="4"/>
              <w:bottom w:val="single" w:color="BFBFBF" w:sz="4"/>
              <w:right w:val="single" w:color="BFBFBF" w:sz="4"/>
            </w:tcBorders>
            <w:tcMar>
              <w:top w:type="dxa" w:w="50"/>
              <w:left w:type="dxa" w:w="90"/>
              <w:bottom w:type="dxa" w:w="50"/>
              <w:right w:type="dxa" w:w="90"/>
            </w:tcMar>
          </w:tcPr>
          <w:p/>
        </w:tc>
        <w:tc>
          <w:tcPr>
            <w:tcW w:type="dxa" w:w="19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6"/>
                <w:szCs w:val="16"/>
              </w:rPr>
              <w:t xml:space="preserve">₹85,000+</w:t>
            </w:r>
          </w:p>
        </w:tc>
        <w:tc>
          <w:tcPr>
            <w:tcW w:type="dxa" w:w="23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6"/>
                <w:szCs w:val="16"/>
              </w:rPr>
              <w:t xml:space="preserve">₹0.9–1.85 lakh</w:t>
            </w:r>
          </w:p>
        </w:tc>
      </w:tr>
    </w:tbl>
    <w:p>
      <w:pPr>
        <w:spacing w:after="60"/>
      </w:pPr>
    </w:p>
    <w:p>
      <w:pPr>
        <w:spacing w:after="100"/>
      </w:pPr>
      <w:r>
        <w:rPr>
          <w:rFonts w:ascii="Calibri" w:cs="Calibri" w:eastAsia="Calibri" w:hAnsi="Calibri"/>
          <w:i/>
          <w:iCs/>
          <w:color w:val="595959"/>
          <w:sz w:val="18"/>
          <w:szCs w:val="18"/>
        </w:rPr>
        <w:t xml:space="preserve">Estimates only; real quotes come before each approval. Sponsors: Patna companies, banks, ed-tech/coaching firms, food partners; companies can fund named prizes. GeeksforGeeks/Unstop co-hosting can make the contest platform free.</w:t>
      </w:r>
    </w:p>
    <w:p>
      <w:pPr>
        <w:pStyle w:val="Heading1"/>
        <w:keepNext/>
        <w:spacing w:after="120" w:before="280"/>
      </w:pPr>
      <w:r>
        <w:rPr>
          <w:rFonts w:ascii="Calibri" w:cs="Calibri" w:eastAsia="Calibri" w:hAnsi="Calibri"/>
          <w:b/>
          <w:bCs/>
          <w:color w:val="1F4E79"/>
          <w:sz w:val="26"/>
          <w:szCs w:val="26"/>
        </w:rPr>
        <w:t xml:space="preserve">8. Timeline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199"/>
        <w:gridCol w:w="13199"/>
      </w:tblGrid>
      <w:tr>
        <w:trPr>
          <w:tblHeader/>
        </w:trPr>
        <w:tc>
          <w:tcPr>
            <w:tcW w:type="dxa" w:w="21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Month</w:t>
            </w:r>
          </w:p>
        </w:tc>
        <w:tc>
          <w:tcPr>
            <w:tcW w:type="dxa" w:w="131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Main work</w:t>
            </w:r>
          </w:p>
        </w:tc>
      </w:tr>
      <w:tr>
        <w:trPr>
          <w:cantSplit/>
        </w:trPr>
        <w:tc>
          <w:tcPr>
            <w:tcW w:type="dxa" w:w="21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Oct 2026</w:t>
            </w:r>
          </w:p>
        </w:tc>
        <w:tc>
          <w:tcPr>
            <w:tcW w:type="dxa" w:w="131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Approval for Event A • form the team (with T&amp;P officer) • college contact sheet • start college visits</w:t>
            </w:r>
          </w:p>
        </w:tc>
      </w:tr>
      <w:tr>
        <w:trPr>
          <w:cantSplit/>
        </w:trPr>
        <w:tc>
          <w:tcPr>
            <w:tcW w:type="dxa" w:w="21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Nov 2026</w:t>
            </w:r>
          </w:p>
        </w:tc>
        <w:tc>
          <w:tcPr>
            <w:tcW w:type="dxa" w:w="131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College visits finished (around Diwali 8 Nov and Chhath) • ambassadors on board • companies and speaker confirmed • registration opens 30 Nov</w:t>
            </w:r>
          </w:p>
        </w:tc>
      </w:tr>
      <w:tr>
        <w:trPr>
          <w:cantSplit/>
        </w:trPr>
        <w:tc>
          <w:tcPr>
            <w:tcW w:type="dxa" w:w="21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Dec 2026</w:t>
            </w:r>
          </w:p>
        </w:tc>
        <w:tc>
          <w:tcPr>
            <w:tcW w:type="dxa" w:w="131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Exams – online engagement only (practice contest 13 Dec) • problems written and tested</w:t>
            </w:r>
          </w:p>
        </w:tc>
      </w:tr>
      <w:tr>
        <w:trPr>
          <w:cantSplit/>
        </w:trPr>
        <w:tc>
          <w:tcPr>
            <w:tcW w:type="dxa" w:w="21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Jan 2027</w:t>
            </w:r>
          </w:p>
        </w:tc>
        <w:tc>
          <w:tcPr>
            <w:tcW w:type="dxa" w:w="131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Semester starts – main promotion push • prelim 10 Jan • </w:t>
            </w:r>
            <w:r>
              <w:rPr>
                <w:rFonts w:ascii="Calibri" w:cs="Calibri" w:eastAsia="Calibri" w:hAnsi="Calibri"/>
                <w:b/>
                <w:bCs/>
                <w:sz w:val="16"/>
                <w:szCs w:val="16"/>
              </w:rPr>
              <w:t xml:space="preserve">EVENT A 16 Jan</w:t>
            </w:r>
            <w:r>
              <w:rPr>
                <w:rFonts w:ascii="Calibri" w:cs="Calibri" w:eastAsia="Calibri" w:hAnsi="Calibri"/>
                <w:b w:val="false"/>
                <w:bCs w:val="false"/>
                <w:sz w:val="16"/>
                <w:szCs w:val="16"/>
              </w:rPr>
              <w:t xml:space="preserve"> • results sheet and Event B approval request by 25 Jan</w:t>
            </w:r>
          </w:p>
        </w:tc>
      </w:tr>
      <w:tr>
        <w:trPr>
          <w:cantSplit/>
        </w:trPr>
        <w:tc>
          <w:tcPr>
            <w:tcW w:type="dxa" w:w="21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Feb 2027</w:t>
            </w:r>
          </w:p>
        </w:tc>
        <w:tc>
          <w:tcPr>
            <w:tcW w:type="dxa" w:w="131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Event B registration opens 8 Feb • company problem statements published (week of 22 Feb)</w:t>
            </w:r>
          </w:p>
        </w:tc>
      </w:tr>
      <w:tr>
        <w:trPr>
          <w:cantSplit/>
        </w:trPr>
        <w:tc>
          <w:tcPr>
            <w:tcW w:type="dxa" w:w="21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Mar 2027</w:t>
            </w:r>
          </w:p>
        </w:tc>
        <w:tc>
          <w:tcPr>
            <w:tcW w:type="dxa" w:w="131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Mid-terms – light touch • confirmations • </w:t>
            </w:r>
            <w:r>
              <w:rPr>
                <w:rFonts w:ascii="Calibri" w:cs="Calibri" w:eastAsia="Calibri" w:hAnsi="Calibri"/>
                <w:b/>
                <w:bCs/>
                <w:sz w:val="16"/>
                <w:szCs w:val="16"/>
              </w:rPr>
              <w:t xml:space="preserve">EVENT B 27–28 Mar</w:t>
            </w:r>
          </w:p>
        </w:tc>
      </w:tr>
      <w:tr>
        <w:trPr>
          <w:cantSplit/>
        </w:trPr>
        <w:tc>
          <w:tcPr>
            <w:tcW w:type="dxa" w:w="21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Apr 2027</w:t>
            </w:r>
          </w:p>
        </w:tc>
        <w:tc>
          <w:tcPr>
            <w:tcW w:type="dxa" w:w="131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Interviews and offers followed up • results sheet and year report by 12 Apr</w:t>
            </w:r>
          </w:p>
        </w:tc>
      </w:tr>
    </w:tbl>
    <w:p>
      <w:pPr>
        <w:spacing w:after="60"/>
      </w:pPr>
    </w:p>
    <w:p>
      <w:pPr>
        <w:pStyle w:val="Heading1"/>
        <w:keepNext/>
        <w:spacing w:after="120" w:before="280"/>
      </w:pPr>
      <w:r>
        <w:rPr>
          <w:rFonts w:ascii="Calibri" w:cs="Calibri" w:eastAsia="Calibri" w:hAnsi="Calibri"/>
          <w:b/>
          <w:bCs/>
          <w:color w:val="1F4E79"/>
          <w:sz w:val="26"/>
          <w:szCs w:val="26"/>
        </w:rPr>
        <w:t xml:space="preserve">9. Team and main risks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238"/>
        <w:gridCol w:w="6160"/>
      </w:tblGrid>
      <w:tr>
        <w:trPr>
          <w:tblHeader/>
        </w:trPr>
        <w:tc>
          <w:tcPr>
            <w:tcW w:type="dxa" w:w="92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Team</w:t>
            </w:r>
          </w:p>
        </w:tc>
        <w:tc>
          <w:tcPr>
            <w:tcW w:type="dxa" w:w="6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People</w:t>
            </w:r>
          </w:p>
        </w:tc>
      </w:tr>
      <w:tr>
        <w:trPr>
          <w:cantSplit/>
        </w:trPr>
        <w:tc>
          <w:tcPr>
            <w:tcW w:type="dxa" w:w="9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Faculty convener</w:t>
            </w:r>
          </w:p>
        </w:tc>
        <w:tc>
          <w:tcPr>
            <w:tcW w:type="dxa" w:w="6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w:t>
            </w:r>
          </w:p>
        </w:tc>
      </w:tr>
      <w:tr>
        <w:trPr>
          <w:cantSplit/>
        </w:trPr>
        <w:tc>
          <w:tcPr>
            <w:tcW w:type="dxa" w:w="9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T&amp;P / placement officer</w:t>
            </w:r>
          </w:p>
        </w:tc>
        <w:tc>
          <w:tcPr>
            <w:tcW w:type="dxa" w:w="61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w:t>
            </w:r>
          </w:p>
        </w:tc>
      </w:tr>
      <w:tr>
        <w:trPr>
          <w:cantSplit/>
        </w:trPr>
        <w:tc>
          <w:tcPr>
            <w:tcW w:type="dxa" w:w="9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Student lead + deputy</w:t>
            </w:r>
          </w:p>
        </w:tc>
        <w:tc>
          <w:tcPr>
            <w:tcW w:type="dxa" w:w="6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w:t>
            </w:r>
          </w:p>
        </w:tc>
      </w:tr>
      <w:tr>
        <w:trPr>
          <w:cantSplit/>
        </w:trPr>
        <w:tc>
          <w:tcPr>
            <w:tcW w:type="dxa" w:w="9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College outreach (visits, ambassadors)</w:t>
            </w:r>
          </w:p>
        </w:tc>
        <w:tc>
          <w:tcPr>
            <w:tcW w:type="dxa" w:w="61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3–4</w:t>
            </w:r>
          </w:p>
        </w:tc>
      </w:tr>
      <w:tr>
        <w:trPr>
          <w:cantSplit/>
        </w:trPr>
        <w:tc>
          <w:tcPr>
            <w:tcW w:type="dxa" w:w="9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Company relations</w:t>
            </w:r>
          </w:p>
        </w:tc>
        <w:tc>
          <w:tcPr>
            <w:tcW w:type="dxa" w:w="6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2–3</w:t>
            </w:r>
          </w:p>
        </w:tc>
      </w:tr>
      <w:tr>
        <w:trPr>
          <w:cantSplit/>
        </w:trPr>
        <w:tc>
          <w:tcPr>
            <w:tcW w:type="dxa" w:w="9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Technical, marketing, logistics</w:t>
            </w:r>
          </w:p>
        </w:tc>
        <w:tc>
          <w:tcPr>
            <w:tcW w:type="dxa" w:w="61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8–12</w:t>
            </w:r>
          </w:p>
        </w:tc>
      </w:tr>
      <w:tr>
        <w:trPr>
          <w:cantSplit/>
        </w:trPr>
        <w:tc>
          <w:tcPr>
            <w:tcW w:type="dxa" w:w="9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Volunteers on event days</w:t>
            </w:r>
          </w:p>
        </w:tc>
        <w:tc>
          <w:tcPr>
            <w:tcW w:type="dxa" w:w="6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20 (Event A) • 30 (Event B)</w:t>
            </w:r>
          </w:p>
        </w:tc>
      </w:tr>
    </w:tbl>
    <w:p>
      <w:pPr>
        <w:spacing w:after="60"/>
      </w:pPr>
    </w:p>
    <w:p>
      <w:pPr>
        <w:pStyle w:val="ListParagraph"/>
        <w:numPr>
          <w:ilvl w:val="0"/>
          <w:numId w:val="2"/>
        </w:numPr>
        <w:spacing w:after="50"/>
      </w:pPr>
      <w:r>
        <w:rPr>
          <w:rFonts w:ascii="Calibri" w:cs="Calibri" w:eastAsia="Calibri" w:hAnsi="Calibri"/>
          <w:b/>
          <w:bCs/>
          <w:sz w:val="20"/>
          <w:szCs w:val="20"/>
        </w:rPr>
        <w:t xml:space="preserve">Colleges slow to respond:</w:t>
      </w:r>
      <w:r>
        <w:rPr>
          <w:rFonts w:ascii="Calibri" w:cs="Calibri" w:eastAsia="Calibri" w:hAnsi="Calibri"/>
          <w:sz w:val="20"/>
          <w:szCs w:val="20"/>
        </w:rPr>
        <w:t xml:space="preserve"> the Director's letter and an in-person visit; ambassadors can sign students up while the college replies.</w:t>
      </w:r>
    </w:p>
    <w:p>
      <w:pPr>
        <w:pStyle w:val="ListParagraph"/>
        <w:numPr>
          <w:ilvl w:val="0"/>
          <w:numId w:val="2"/>
        </w:numPr>
        <w:spacing w:after="50"/>
      </w:pPr>
      <w:r>
        <w:rPr>
          <w:rFonts w:ascii="Calibri" w:cs="Calibri" w:eastAsia="Calibri" w:hAnsi="Calibri"/>
          <w:b/>
          <w:bCs/>
          <w:sz w:val="20"/>
          <w:szCs w:val="20"/>
        </w:rPr>
        <w:t xml:space="preserve">Companies judge but do not hire:</w:t>
      </w:r>
      <w:r>
        <w:rPr>
          <w:rFonts w:ascii="Calibri" w:cs="Calibri" w:eastAsia="Calibri" w:hAnsi="Calibri"/>
          <w:sz w:val="20"/>
          <w:szCs w:val="20"/>
        </w:rPr>
        <w:t xml:space="preserve"> interview and offer numbers agreed in writing before each event; the T&amp;P officer follows up within 2 weeks.</w:t>
      </w:r>
    </w:p>
    <w:p>
      <w:pPr>
        <w:pStyle w:val="ListParagraph"/>
        <w:numPr>
          <w:ilvl w:val="0"/>
          <w:numId w:val="2"/>
        </w:numPr>
        <w:spacing w:after="50"/>
      </w:pPr>
      <w:r>
        <w:rPr>
          <w:rFonts w:ascii="Calibri" w:cs="Calibri" w:eastAsia="Calibri" w:hAnsi="Calibri"/>
          <w:b/>
          <w:bCs/>
          <w:sz w:val="20"/>
          <w:szCs w:val="20"/>
        </w:rPr>
        <w:t xml:space="preserve">Exam clashes:</w:t>
      </w:r>
      <w:r>
        <w:rPr>
          <w:rFonts w:ascii="Calibri" w:cs="Calibri" w:eastAsia="Calibri" w:hAnsi="Calibri"/>
          <w:sz w:val="20"/>
          <w:szCs w:val="20"/>
        </w:rPr>
        <w:t xml:space="preserve"> confirm each college's calendar during the visits. Fallback dates: Sat 30 Jan for Event A, Sat–Sun 3–4 Apr for Event B.</w:t>
      </w:r>
    </w:p>
    <w:p>
      <w:pPr>
        <w:pStyle w:val="ListParagraph"/>
        <w:numPr>
          <w:ilvl w:val="0"/>
          <w:numId w:val="2"/>
        </w:numPr>
        <w:spacing w:after="50"/>
      </w:pPr>
      <w:r>
        <w:rPr>
          <w:rFonts w:ascii="Calibri" w:cs="Calibri" w:eastAsia="Calibri" w:hAnsi="Calibri"/>
          <w:b/>
          <w:bCs/>
          <w:sz w:val="20"/>
          <w:szCs w:val="20"/>
        </w:rPr>
        <w:t xml:space="preserve">Overnight stay for Event B:</w:t>
      </w:r>
      <w:r>
        <w:rPr>
          <w:rFonts w:ascii="Calibri" w:cs="Calibri" w:eastAsia="Calibri" w:hAnsi="Calibri"/>
          <w:sz w:val="20"/>
          <w:szCs w:val="20"/>
        </w:rPr>
        <w:t xml:space="preserve"> separate supervised rest rooms with a woman warden, consent forms, first aid and security. If overnight is not approved, Event B runs as a 12-hour hackathon.</w:t>
      </w:r>
    </w:p>
    <w:p>
      <w:pPr>
        <w:pStyle w:val="Heading1"/>
        <w:keepNext/>
        <w:spacing w:after="120" w:before="280"/>
      </w:pPr>
      <w:r>
        <w:rPr>
          <w:rFonts w:ascii="Calibri" w:cs="Calibri" w:eastAsia="Calibri" w:hAnsi="Calibri"/>
          <w:b/>
          <w:bCs/>
          <w:color w:val="1F4E79"/>
          <w:sz w:val="26"/>
          <w:szCs w:val="26"/>
        </w:rPr>
        <w:t xml:space="preserve">10. Decisions needed now</w:t>
      </w:r>
    </w:p>
    <w:p>
      <w:pPr>
        <w:pStyle w:val="ListParagraph"/>
        <w:numPr>
          <w:ilvl w:val="0"/>
          <w:numId w:val="2"/>
        </w:numPr>
        <w:spacing w:after="50"/>
      </w:pPr>
      <w:r>
        <w:rPr>
          <w:rFonts w:ascii="Calibri" w:cs="Calibri" w:eastAsia="Calibri" w:hAnsi="Calibri"/>
          <w:sz w:val="20"/>
          <w:szCs w:val="20"/>
        </w:rPr>
        <w:t xml:space="preserve">Approve </w:t>
      </w:r>
      <w:r>
        <w:rPr>
          <w:rFonts w:ascii="Calibri" w:cs="Calibri" w:eastAsia="Calibri" w:hAnsi="Calibri"/>
          <w:b/>
          <w:bCs/>
          <w:sz w:val="20"/>
          <w:szCs w:val="20"/>
        </w:rPr>
        <w:t xml:space="preserve">Event A – Patna Inter-College Code &amp; Idea Day</w:t>
      </w:r>
      <w:r>
        <w:rPr>
          <w:rFonts w:ascii="Calibri" w:cs="Calibri" w:eastAsia="Calibri" w:hAnsi="Calibri"/>
          <w:sz w:val="20"/>
          <w:szCs w:val="20"/>
        </w:rPr>
        <w:t xml:space="preserve"> (Sat 16 Jan 2027, budget ₹55,000–90,000), including entry of students from other colleges</w:t>
      </w:r>
    </w:p>
    <w:p>
      <w:pPr>
        <w:pStyle w:val="ListParagraph"/>
        <w:numPr>
          <w:ilvl w:val="0"/>
          <w:numId w:val="2"/>
        </w:numPr>
        <w:spacing w:after="50"/>
      </w:pPr>
      <w:r>
        <w:rPr>
          <w:rFonts w:ascii="Calibri" w:cs="Calibri" w:eastAsia="Calibri" w:hAnsi="Calibri"/>
          <w:sz w:val="20"/>
          <w:szCs w:val="20"/>
        </w:rPr>
        <w:t xml:space="preserve">Approve in principle </w:t>
      </w:r>
      <w:r>
        <w:rPr>
          <w:rFonts w:ascii="Calibri" w:cs="Calibri" w:eastAsia="Calibri" w:hAnsi="Calibri"/>
          <w:b/>
          <w:bCs/>
          <w:sz w:val="20"/>
          <w:szCs w:val="20"/>
        </w:rPr>
        <w:t xml:space="preserve">Event B – Patna Inter-College Hackathon</w:t>
      </w:r>
      <w:r>
        <w:rPr>
          <w:rFonts w:ascii="Calibri" w:cs="Calibri" w:eastAsia="Calibri" w:hAnsi="Calibri"/>
          <w:sz w:val="20"/>
          <w:szCs w:val="20"/>
        </w:rPr>
        <w:t xml:space="preserve"> (Sat–Sun 27–28 Mar 2027); final approval after the Event A results sheet</w:t>
      </w:r>
    </w:p>
    <w:p>
      <w:pPr>
        <w:pStyle w:val="ListParagraph"/>
        <w:numPr>
          <w:ilvl w:val="0"/>
          <w:numId w:val="2"/>
        </w:numPr>
        <w:spacing w:after="50"/>
      </w:pPr>
      <w:r>
        <w:rPr>
          <w:rFonts w:ascii="Calibri" w:cs="Calibri" w:eastAsia="Calibri" w:hAnsi="Calibri"/>
          <w:sz w:val="20"/>
          <w:szCs w:val="20"/>
        </w:rPr>
        <w:t xml:space="preserve">Letters from the Director to the principals of 15+ Patna colleges</w:t>
      </w:r>
    </w:p>
    <w:p>
      <w:pPr>
        <w:pStyle w:val="ListParagraph"/>
        <w:numPr>
          <w:ilvl w:val="0"/>
          <w:numId w:val="2"/>
        </w:numPr>
        <w:spacing w:after="50"/>
      </w:pPr>
      <w:r>
        <w:rPr>
          <w:rFonts w:ascii="Calibri" w:cs="Calibri" w:eastAsia="Calibri" w:hAnsi="Calibri"/>
          <w:sz w:val="20"/>
          <w:szCs w:val="20"/>
        </w:rPr>
        <w:t xml:space="preserve">Appoint the faculty convener and confirm the T&amp;P officer's role</w:t>
      </w:r>
    </w:p>
    <w:p>
      <w:pPr>
        <w:pStyle w:val="ListParagraph"/>
        <w:numPr>
          <w:ilvl w:val="0"/>
          <w:numId w:val="2"/>
        </w:numPr>
        <w:spacing w:after="50"/>
      </w:pPr>
      <w:r>
        <w:rPr>
          <w:rFonts w:ascii="Calibri" w:cs="Calibri" w:eastAsia="Calibri" w:hAnsi="Calibri"/>
          <w:sz w:val="20"/>
          <w:szCs w:val="20"/>
        </w:rPr>
        <w:t xml:space="preserve">Hold the venue: 3 labs, auditorium and 4 rooms on 16 Jan; main hall, labs and auditorium on 27–28 Mar</w:t>
      </w:r>
    </w:p>
    <w:sectPr>
      <w:footerReference w:type="default" r:id="rId6"/>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Proposal – Patna Inter-College Events 2027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2026-10-12T17:08:07.997Z</dcterms:created>
  <dcterms:modified xsi:type="dcterms:W3CDTF">2026-10-12T17:08:07.998Z</dcterms:modified>
</cp:coreProperties>
</file>

<file path=docProps/custom.xml><?xml version="1.0" encoding="utf-8"?>
<Properties xmlns="http://schemas.openxmlformats.org/officeDocument/2006/custom-properties" xmlns:vt="http://schemas.openxmlformats.org/officeDocument/2006/docPropsVTypes"/>
</file>