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rPr>
        <w:t xml:space="preserve">Bachelor of Science in Information Technology (B.Sc. IT)</w:t>
      </w:r>
    </w:p>
    <w:p/>
    <w:p>
      <w:pPr>
        <w:spacing w:after="160" w:line="360"/>
        <w:jc w:val="center"/>
      </w:pPr>
      <w:r>
        <w:rPr>
          <w:sz w:val="24"/>
          <w:szCs w:val="24"/>
        </w:rPr>
        <w:t xml:space="preserve">Submitted by</w:t>
      </w:r>
    </w:p>
    <w:p>
      <w:pPr>
        <w:spacing w:after="160" w:line="360"/>
        <w:jc w:val="center"/>
      </w:pPr>
      <w:r>
        <w:rPr>
          <w:b/>
          <w:bCs/>
          <w:sz w:val="24"/>
          <w:szCs w:val="24"/>
        </w:rPr>
        <w:t xml:space="preserve">Anish Raj</w:t>
      </w:r>
    </w:p>
    <w:p>
      <w:pPr>
        <w:spacing w:after="160" w:line="360"/>
        <w:jc w:val="center"/>
      </w:pPr>
      <w:r>
        <w:rPr>
          <w:sz w:val="24"/>
          <w:szCs w:val="24"/>
        </w:rPr>
        <w:t xml:space="preserve">Enrolment No. A45304925031</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rPr>
        <w:t xml:space="preserve">Assistant Professor,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2025–2028  ·  October 2026</w:t>
      </w:r>
    </w:p>
    <w:p>
      <w:pPr>
        <w:sectPr>
          <w:pgSz w:w="11906" w:h="16838" w:orient="portrait"/>
          <w:pgMar w:top="1440" w:right="1440" w:bottom="1440" w:left="1440" w:header="708" w:footer="708" w:gutter="0"/>
          <w:pgNumType/>
          <w:docGrid w:linePitch="360"/>
        </w:sectPr>
      </w:pPr>
    </w:p>
    <w:p>
      <w:pPr>
        <w:pStyle w:val="Title"/>
        <w:pageBreakBefore/>
      </w:pPr>
      <w:r>
        <w:t xml:space="preserve">DECLARATION</w:t>
      </w:r>
    </w:p>
    <w:p>
      <w:pPr>
        <w:spacing w:after="160" w:line="360"/>
        <w:jc w:val="both"/>
      </w:pPr>
      <w:r>
        <w:t xml:space="preserve">I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Bachelor of Science in Information Technology (B.Sc. IT), is a record of original work carried out by me under the supervision of Dr. Priyadarshini Gupta.</w:t>
      </w:r>
    </w:p>
    <w:p>
      <w:pPr>
        <w:spacing w:after="160" w:line="360"/>
        <w:jc w:val="both"/>
      </w:pPr>
      <w:r>
        <w:t xml:space="preserve">The software described in this report was designed, built and tested by me. Published standards, laws and libraries used in the work are acknowledged in the References, and the software tools used, including an AI coding assistant, in the Acknowledgement. This report has not been submitted, in part or in full, to any other university or institution for the award of any degree or diploma.</w:t>
      </w:r>
    </w:p>
    <w:p/>
    <w:p/>
    <w:p>
      <w:pPr>
        <w:spacing w:after="160" w:line="360"/>
        <w:jc w:val="left"/>
      </w:pPr>
      <w:r>
        <w:rPr>
          <w:b/>
          <w:bCs/>
        </w:rPr>
        <w:t xml:space="preserve">Anish Raj</w:t>
      </w:r>
    </w:p>
    <w:p>
      <w:pPr>
        <w:spacing w:after="160" w:line="360"/>
        <w:jc w:val="left"/>
      </w:pPr>
      <w:r>
        <w:t xml:space="preserve">Enrolment No. A45304925031</w:t>
      </w:r>
    </w:p>
    <w:p>
      <w:pPr>
        <w:spacing w:after="160" w:line="360"/>
        <w:jc w:val="left"/>
      </w:pPr>
      <w:r>
        <w:t xml:space="preserve">Signature: ____________________</w:t>
      </w:r>
    </w:p>
    <w:p>
      <w:pPr>
        <w:spacing w:after="160" w:line="360"/>
        <w:jc w:val="left"/>
      </w:pPr>
      <w:r>
        <w:t xml:space="preserve">Place: Patna						Date: ____________</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Anish Raj (Enrolment No. A45304925031) in partial fulfilment of the requirements for the degree of Bachelor of Science in Information Technology (B.Sc. IT) at Amity Institute of Information Technology, Amity University Patna, is a bona fide record of work carried out under my supervision during the academic session 2025–2028.</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t xml:space="preserve">Assistant Professor</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I express my sincere gratitude to my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I thank the Director and faculty of Amity Institute of Information Technology, Amity University Patna, for providing the environment and resources to carry out this work, and my classmates for testing early versions of the apps and reporting what confused them.</w:t>
      </w:r>
    </w:p>
    <w:p>
      <w:pPr>
        <w:spacing w:after="160" w:line="360"/>
        <w:jc w:val="both"/>
      </w:pPr>
      <w:r>
        <w:t xml:space="preserve">I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Parts of the code and of this report were drafted with the help of an AI coding assistant (Claude, by Anthropic). I directed the work, reviewed what it produced, and ran and checked the tests reported here.</w:t>
      </w:r>
    </w:p>
    <w:p>
      <w:pPr>
        <w:spacing w:after="160" w:line="360"/>
        <w:jc w:val="both"/>
      </w:pPr>
      <w:r>
        <w:t xml:space="preserve">Finally, I thank my family for their patience and support.</w:t>
      </w:r>
    </w:p>
    <w:p/>
    <w:p/>
    <w:p>
      <w:pPr>
        <w:spacing w:after="160" w:line="360"/>
        <w:jc w:val="right"/>
      </w:pPr>
      <w:r>
        <w:t xml:space="preserve">Anish Raj</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The cause is usually scattered data, not poor clinical judgement. The patient is the only person present at every encounter, yet rarely holds a complete record.</w:t>
      </w:r>
    </w:p>
    <w:p>
      <w:pPr>
        <w:spacing w:after="120" w:line="320"/>
        <w:jc w:val="both"/>
      </w:pPr>
      <w:r>
        <w:t xml:space="preserve">LifeTrack Health is a working prototype of a patient-owned, local-first health record that addresses this problem. It consists of four parts: an Android patient app built in Flutter; LifeTrack Clinic,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(Summary, All reports, Family illnesses or Home readings)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was built in Dart and Flutter (about 21,700 lines of application code) and is checked by 354 automated tests across unit, widget, invariant and end-to-end integration levels, all passing, with a clean static analysis. The invariant tests turn the project’s privacy promises into checks that fail the build. For example, no screen may claim the server “cannot read” the data, and no agent may issue itself a grant. The report describes the problem, the related work, the requirements, the architecture and security design, the implementation, the testing and the results, and ends with limitations and future work. The largest open items are ABDM/ABHA integration and a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Title"/>
        <w:pageBreakBefore/>
      </w:pPr>
      <w:r>
        <w:t xml:space="preserve">LIST OF FIGURES</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5.1  Patient app: Reminders, Records and Insights</w:t>
      </w:r>
    </w:p>
    <w:p>
      <w:pPr>
        <w:spacing w:after="80"/>
      </w:pPr>
      <w:r>
        <w:rPr>
          <w:sz w:val="22"/>
          <w:szCs w:val="22"/>
        </w:rPr>
        <w:t xml:space="preserve">Figure 5.2  Patient app: Share and Me</w:t>
      </w:r>
    </w:p>
    <w:p>
      <w:pPr>
        <w:spacing w:after="80"/>
      </w:pPr>
      <w:r>
        <w:rPr>
          <w:sz w:val="22"/>
          <w:szCs w:val="22"/>
        </w:rPr>
        <w:t xml:space="preserve">Figure 5.3  LifeTrack Clinic: verified code, request by ID and an arrived share</w:t>
      </w:r>
    </w:p>
    <w:p>
      <w:pPr>
        <w:spacing w:after="80"/>
      </w:pPr>
      <w:r>
        <w:rPr>
          <w:sz w:val="22"/>
          <w:szCs w:val="22"/>
        </w:rPr>
        <w:t xml:space="preserve">Figure 5.4  LifeTrack Clinic: a shared summary and a prescription being written</w:t>
      </w:r>
    </w:p>
    <w:p>
      <w:pPr>
        <w:spacing w:after="80"/>
      </w:pPr>
      <w:r>
        <w:rPr>
          <w:sz w:val="22"/>
          <w:szCs w:val="22"/>
        </w:rPr>
        <w:t xml:space="preserve">Figure 5.5  LifeTrack Clinic: the Profile tab</w:t>
      </w:r>
    </w:p>
    <w:p>
      <w:pPr>
        <w:pStyle w:val="Title"/>
        <w:pageBreakBefore/>
      </w:pPr>
      <w:r>
        <w:t xml:space="preserve">LIST OF TABLES</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patient app</w:t>
      </w:r>
    </w:p>
    <w:p>
      <w:pPr>
        <w:spacing w:after="80"/>
      </w:pPr>
      <w:r>
        <w:rPr>
          <w:sz w:val="22"/>
          <w:szCs w:val="22"/>
        </w:rPr>
        <w:t xml:space="preserve">Table 3.3  Functional requirements: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4.1  Access levels</w:t>
      </w:r>
    </w:p>
    <w:p>
      <w:pPr>
        <w:spacing w:after="80"/>
      </w:pPr>
      <w:r>
        <w:rPr>
          <w:sz w:val="22"/>
          <w:szCs w:val="22"/>
        </w:rPr>
        <w:t xml:space="preserve">Table 5.1  Technology stack</w:t>
      </w:r>
    </w:p>
    <w:p>
      <w:pPr>
        <w:spacing w:after="80"/>
      </w:pPr>
      <w:r>
        <w:rPr>
          <w:sz w:val="22"/>
          <w:szCs w:val="22"/>
        </w:rPr>
        <w:t xml:space="preserve">Table 5.2  Code size by part</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UI</w:t>
      </w:r>
      <w:r>
        <w:t xml:space="preserve">	User Interface</w:t>
      </w:r>
    </w:p>
    <w:p>
      <w:pPr>
        <w:tabs>
          <w:tab w:val="left" w:pos="1800"/>
        </w:tabs>
        <w:spacing w:after="60"/>
      </w:pPr>
      <w:r>
        <w:rPr>
          <w:b/>
          <w:bCs/>
        </w:rPr>
        <w:t xml:space="preserve">WCAG</w:t>
      </w:r>
      <w:r>
        <w:t xml:space="preserve">	Web Content Accessibility Guidelines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Health care in India is delivered by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(prescriptions, lab printouts, discharge summaries and scan reports)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In a local-first design the main copy lives on the patient’s device and leaves it only encrypted, and only when the patient asks. That removes the central store of readable records. Building such a system end to end, including the cryptography, the consent rules and a doctor-side app, is a large piece of software engineering that touches mobile development, security, distributed systems, user-interface design and law.</w:t>
      </w:r>
    </w:p>
    <w:p>
      <w:pPr>
        <w:pStyle w:val="Heading2"/>
      </w:pPr>
      <w:r>
        <w:t xml:space="preserve">1.4 Objectives</w:t>
      </w:r>
    </w:p>
    <w:p>
      <w:pPr>
        <w:pStyle w:val="ListParagraph"/>
        <w:numPr>
          <w:ilvl w:val="0"/>
          <w:numId w:val="3"/>
        </w:numPr>
        <w:spacing w:after="80" w:line="340"/>
        <w:jc w:val="both"/>
      </w:pPr>
      <w:r>
        <w:t xml:space="preserve">Build a patient-owned record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clinician access explicit, time-limited and revocable: the patient approves a level of access for one verified doctor for a chosen time, and can shorten, extend or end it.</w:t>
      </w:r>
    </w:p>
    <w:p>
      <w:pPr>
        <w:pStyle w:val="ListParagraph"/>
        <w:numPr>
          <w:ilvl w:val="0"/>
          <w:numId w:val="3"/>
        </w:numPr>
        <w:spacing w:after="80" w:line="340"/>
        <w:jc w:val="both"/>
      </w:pPr>
      <w:r>
        <w:t xml:space="preserve">Make sure no server can read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useful, safe insights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typing by reading photographed and PDF lab reports on the device (OCR), with the patient confirming uncertain fields.</w:t>
      </w:r>
    </w:p>
    <w:p>
      <w:pPr>
        <w:pStyle w:val="ListParagraph"/>
        <w:numPr>
          <w:ilvl w:val="0"/>
          <w:numId w:val="3"/>
        </w:numPr>
        <w:spacing w:after="80" w:line="340"/>
        <w:jc w:val="both"/>
      </w:pPr>
      <w:r>
        <w:t xml:space="preserve">Build a doctor app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verifiable: express the system’s rules as automated tests that fail the build when broken.</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The widely adopted standard for exchanging health data as resources (Patient, Observation, MedicationRequest,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for authenticated encryption; X25519 (RFC 7748) for key agreement; Ed25519 (RFC 8032) for signatures; HKDF (RFC 5869) for key derivation; Argon2id (RFC 9106) for password hashing, using the OWASP-recommended minimum parameters; Shamir’s secret sharing for recovery codes.</w:t>
      </w:r>
    </w:p>
    <w:p>
      <w:pPr>
        <w:pStyle w:val="ListParagraph"/>
        <w:numPr>
          <w:ilvl w:val="0"/>
          <w:numId w:val="2"/>
        </w:numPr>
        <w:spacing w:after="80" w:line="340"/>
        <w:jc w:val="both"/>
      </w:pPr>
      <w:r>
        <w:rPr>
          <w:b/>
          <w:bCs/>
        </w:rPr>
        <w:t xml:space="preserve">WCAG 2.1 AA.</w:t>
      </w:r>
      <w:r>
        <w:t xml:space="preserve">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Requires free, specific, informed and unambiguous consent, purpose limitation, a right of access and erasure, and verifiable parental consent for children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and the 2019 Aadhaar amendment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The local-first software movement argues that the user’s device should hold the authoritative copy of their data, with the network used to sync and collaborate, not to hold the data. End-to-end encryption, familiar from messaging, shows that a relay can carry data it cannot read. Clinical-safety guidance for software as a medical device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I could not find a widely available system that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dark mode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semantic colours checked for colour-vision deficiency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354 automated tests; every update raises the version and adds a changelog line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needed</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Bundled in the apps</w:t>
            </w:r>
          </w:p>
        </w:tc>
      </w:tr>
    </w:tbl>
    <w:p>
      <w:pPr>
        <w:spacing w:after="160"/>
      </w:pPr>
    </w:p>
    <w:p>
      <w:pPr>
        <w:pStyle w:val="Heading2"/>
      </w:pPr>
      <w:r>
        <w:t xml:space="preserve">3.5 Feasibility study</w:t>
      </w:r>
    </w:p>
    <w:p>
      <w:pPr>
        <w:pStyle w:val="ListParagraph"/>
        <w:numPr>
          <w:ilvl w:val="0"/>
          <w:numId w:val="2"/>
        </w:numPr>
        <w:spacing w:after="80" w:line="340"/>
        <w:jc w:val="both"/>
      </w:pPr>
      <w:r>
        <w:rPr>
          <w:b/>
          <w:bCs/>
        </w:rPr>
        <w:t xml:space="preserve">Technical.</w:t>
      </w:r>
      <w:r>
        <w:t xml:space="preserve"> Flutter and Dart provide mature cryptography, camera, QR and notification support; Tesseract runs fully on-device. Every required flow works end to end in the prototype.</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patient app holds the record. The doctor app, LifeTrack Clinic, is the only other place records can be read, and only while a share is open. The server is kept small and is never trusted with readable content: it signs doctor certificates, carries sealed messages, maps LifeTrack IDs to mailboxes, stores encrypted backups and runs the identity-check flow. A shared Dart package, lifetrack_protocol,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14625"/>
                    </a:xfrm>
                    <a:prstGeom prst="rect">
                      <a:avLst/>
                    </a:prstGeom>
                  </pic:spPr>
                </pic:pic>
              </a:graphicData>
            </a:graphic>
          </wp:inline>
        </w:drawing>
      </w:r>
    </w:p>
    <w:p>
      <w:pPr>
        <w:spacing w:after="240"/>
        <w:jc w:val="center"/>
      </w:pPr>
      <w:r>
        <w:rPr>
          <w:i/>
          <w:iCs/>
          <w:sz w:val="20"/>
          <w:szCs w:val="20"/>
        </w:rPr>
        <w:t xml:space="preserve">Figure 4.1: System architecture</w:t>
      </w:r>
    </w:p>
    <w:p>
      <w:pPr>
        <w:pStyle w:val="Heading2"/>
      </w:pPr>
      <w:r>
        <w:t xml:space="preserve">4.2 Data flow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4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AppServices, the single entry point, and render Insight objects. Any reader other than the patient (on-device insights, a share, the disabled cloud plane) must go through RecordAccess, which asks ConsentStore whether a stored grant allows the read and writes an audit entry for every read and every refusal. Below that, SealedStore encrypts every blob and FileByteStore writes it atomically (write to a temporary file, flush, rename).</w:t>
      </w:r>
    </w:p>
    <w:p>
      <w:pPr>
        <w:keepNext/>
        <w:spacing w:before="120"/>
        <w:jc w:val="center"/>
      </w:pPr>
      <w:r>
        <w:drawing>
          <wp:inline distT="0" distB="0" distL="0" distR="0">
            <wp:extent cx="5715000" cy="3181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81350"/>
                    </a:xfrm>
                    <a:prstGeom prst="rect">
                      <a:avLst/>
                    </a:prstGeom>
                  </pic:spPr>
                </pic:pic>
              </a:graphicData>
            </a:graphic>
          </wp:inline>
        </w:drawing>
      </w:r>
    </w:p>
    <w:p>
      <w:pPr>
        <w:spacing w:after="24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on-device insights (Tier 1).</w:t>
      </w:r>
      <w:r>
        <w:t xml:space="preserve"> Fixed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looks up the stored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actingGrantor(),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the level aimed at preventing repeat tests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Patient (profile, date of birth, sex, ABHA, role), Custody (who may consent for whom, and the family role), HealthRecord (kind: prescription, report, scan or note; source: typed by patient, smart capture, doctor-issued, restored, lab-signed; provenance badge; test results with the lab’s printed range; medicines with status), ClinicalProfile (allergies, conditions, family illnesses), VitalReading, EmergencyCard (fixed, bounded fields), ConsentToken, and AuditEntry.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19575"/>
                    </a:xfrm>
                    <a:prstGeom prst="rect">
                      <a:avLst/>
                    </a:prstGeom>
                  </pic:spPr>
                </pic:pic>
              </a:graphicData>
            </a:graphic>
          </wp:inline>
        </w:drawing>
      </w:r>
    </w:p>
    <w:p>
      <w:pPr>
        <w:spacing w:after="24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A password chosen by people is the weakest link in any encrypted backup, so LifeTrack generates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962275"/>
                    </a:xfrm>
                    <a:prstGeom prst="rect">
                      <a:avLst/>
                    </a:prstGeom>
                  </pic:spPr>
                </pic:pic>
              </a:graphicData>
            </a:graphic>
          </wp:inline>
        </w:drawing>
      </w:r>
    </w:p>
    <w:p>
      <w:pPr>
        <w:spacing w:after="24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Verhoeff check digit, which catches every single-digit error and every swap of neighbouring digits. IDs always start with 1, so they can never be confused with an Aadhaar number. The server maps an ID only to a reply mailbox and key. It holds no name and no records, and only the token held on the phone can move or delete it.</w:t>
      </w: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16,083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1,599</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21,687</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7,097</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ai (planes A, B, C and the Insight contract), app (AppServices and wiring), audit, capture (OCR and image handling), consent, crypto, emergency, export, family, identity, model, reminders, security, share, storage, ui, vaccines and vault.</w:t>
      </w:r>
    </w:p>
    <w:p>
      <w:pPr>
        <w:pStyle w:val="Heading2"/>
      </w:pPr>
      <w:r>
        <w:t xml:space="preserve">5.3 Patient app</w:t>
      </w:r>
    </w:p>
    <w:p>
      <w:pPr>
        <w:spacing w:after="160" w:line="360"/>
        <w:jc w:val="both"/>
      </w:pPr>
      <w:r>
        <w:t xml:space="preserve">The app has five tabs (Reminders, Records, Insights, Share and Me) and a family bar at the top for switching between profiles (Figure 5.1).</w:t>
      </w:r>
    </w:p>
    <w:p>
      <w:pPr>
        <w:keepNext/>
        <w:spacing w:before="120"/>
        <w:jc w:val="center"/>
      </w:pPr>
      <w:r>
        <w:drawing>
          <wp:inline distT="0" distB="0" distL="0" distR="0">
            <wp:extent cx="14287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lists today’s medicines from active prescriptions, each with a tick, and the patient’s own reminders.</w:t>
      </w:r>
    </w:p>
    <w:p>
      <w:pPr>
        <w:pStyle w:val="ListParagraph"/>
        <w:numPr>
          <w:ilvl w:val="0"/>
          <w:numId w:val="2"/>
        </w:numPr>
        <w:spacing w:after="80" w:line="340"/>
        <w:jc w:val="both"/>
      </w:pPr>
      <w:r>
        <w:rPr>
          <w:b/>
          <w:bCs/>
        </w:rPr>
        <w:t xml:space="preserve">Records</w:t>
      </w:r>
      <w:r>
        <w:t xml:space="preserve"> shows a searchable timeline filtered by prescriptions, reports and scans, and a “results over time” card per test. Tapping a test opens every result with its laboratory, sample date and the lab’s printed range.</w:t>
      </w:r>
    </w:p>
    <w:p>
      <w:pPr>
        <w:pStyle w:val="ListParagraph"/>
        <w:numPr>
          <w:ilvl w:val="0"/>
          <w:numId w:val="2"/>
        </w:numPr>
        <w:spacing w:after="80" w:line="340"/>
        <w:jc w:val="both"/>
      </w:pPr>
      <w:r>
        <w:rPr>
          <w:b/>
          <w:bCs/>
        </w:rPr>
        <w:t xml:space="preserve">Insights</w:t>
      </w:r>
      <w:r>
        <w:t xml:space="preserve"> explains what the on-device insights do and asks the patient to turn them on for 24 hours. Every read they make appears in the access log.</w:t>
      </w:r>
    </w:p>
    <w:p>
      <w:pPr>
        <w:keepNext/>
        <w:spacing w:before="120"/>
        <w:jc w:val="center"/>
      </w:pP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5.2: Patient app: Share and Me</w:t>
      </w:r>
    </w:p>
    <w:p>
      <w:pPr>
        <w:pStyle w:val="ListParagraph"/>
        <w:numPr>
          <w:ilvl w:val="0"/>
          <w:numId w:val="2"/>
        </w:numPr>
        <w:spacing w:after="80" w:line="340"/>
        <w:jc w:val="both"/>
      </w:pPr>
      <w:r>
        <w:rPr>
          <w:b/>
          <w:bCs/>
        </w:rPr>
        <w:t xml:space="preserve">Share</w:t>
      </w:r>
      <w:r>
        <w:t xml:space="preserve"> offers “Show on my phone” (no network), scanning a doctor’s code,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holds the Emergency ID, ABHA (optional, “not verified”), reminders, backup, the access log, data rights (export and erasure),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in the Android activity. A parser recognises test names, values, units and printed ranges. Any field read with confidence below 0.85, and every handwritten field, must be ticked or corrected before the patient confirms that the draft matches the report. The original image is kept, encrypted, with the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A child under 18 can be added only as the head’s son or daughter, with consent declared by the parent; sharing for that child stops at 18. An adult may delegate to a custodian in person, and can end it. Adults with their own phones can be linked. Each may share their Emergency ID and/or current medicine list with the other (both are off by default),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Its QR code is plain text so any camera can read it without the internet.</w:t>
      </w:r>
    </w:p>
    <w:p>
      <w:pPr>
        <w:pStyle w:val="Heading2"/>
      </w:pPr>
      <w:r>
        <w:t xml:space="preserve">5.4 Doctor app: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5.3).</w:t>
      </w:r>
    </w:p>
    <w:p>
      <w:pPr>
        <w:keepNext/>
        <w:spacing w:before="120"/>
        <w:jc w:val="center"/>
      </w:pPr>
      <w:r>
        <w:drawing>
          <wp:inline distT="0" distB="0" distL="0" distR="0">
            <wp:extent cx="5334000" cy="3371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5.3: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with the medicine, active ingredient, morning-afternoon-night dose, timing relative to food, duration and a note, then signs and sends it (Figure 5.4).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5.4: LifeTrack Clinic: a shared summary and a prescription being written</w:t>
      </w:r>
    </w:p>
    <w:p>
      <w:pPr>
        <w:spacing w:after="160" w:line="360"/>
        <w:jc w:val="both"/>
      </w:pPr>
      <w:r>
        <w:t xml:space="preserve">The app has three tabs: Patients, Prescriptions and Profile. The Profile tab (Figure 5.5)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5.5: LifeTrack Clinic: the Profile tab</w:t>
      </w:r>
    </w:p>
    <w:p>
      <w:pPr>
        <w:pStyle w:val="Heading2"/>
      </w:pPr>
      <w:r>
        <w:t xml:space="preserve">5.5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During development the phone reaches it over USB with </w:t>
      </w:r>
      <w:r>
        <w:rPr>
          <w:rFonts w:ascii="Courier New" w:cs="Courier New" w:eastAsia="Courier New" w:hAnsi="Courier New"/>
          <w:sz w:val="21"/>
          <w:szCs w:val="21"/>
        </w:rPr>
        <w:t xml:space="preserve">adb reverse tcp:8787 tcp:8787</w:t>
      </w:r>
      <w:r>
        <w:t xml:space="preserve">. Data is kept in an owner-only folder: the registry signing key, the admin token, doctor enrolments, the ID map and the backup files.</w:t>
      </w:r>
    </w:p>
    <w:p>
      <w:pPr>
        <w:pStyle w:val="Heading2"/>
      </w:pPr>
      <w:r>
        <w:t xml:space="preserve">5.6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(a feature raises the middle number, a fix the last) and adds a line to the changelog in the same commit. At the time of writing the patient app is at 1.19.0 and the doctor app at 1.8.0 (Appendix A).</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The APK is built obfuscated by a script; the symbol map stays on the developer machine.</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a claim is accepted only if a test can prove it. Five kinds of tests were written:</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Examples: any file other than the one network file becomes socket-capable, the release manifest gaining the INTERNET permission without review, code under </w:t>
      </w:r>
      <w:r>
        <w:rPr>
          <w:rFonts w:ascii="Courier New" w:cs="Courier New" w:eastAsia="Courier New" w:hAnsi="Courier New"/>
          <w:sz w:val="21"/>
          <w:szCs w:val="21"/>
        </w:rPr>
        <w:t xml:space="preserve">lib/src/ai/</w:t>
      </w:r>
      <w:r>
        <w:t xml:space="preserve"> calling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any UI string claiming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5 October 2026 on the current version (patient app 1.19.0,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285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37</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354</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One additional test in the patient app is a tool that renders screens to images for visual review; it runs only when asked to save screenshots and is not counted.</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The share, request-by-ID, prescription and backup flows were exercised by hand, and a medicine reminder was confirmed to fire on the device with names hidden on the lock screen. OCR accuracy has so far been tested mainly on synthetic report images; testing on a wider set of real photographed reports is listed as future work.</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354 tests passing</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During development I changed three things from the proposal:</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instead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proved to be the most valuable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kept and widened. Instead of one synthetic dataset, every rule the system promises is written as a test with a known expected result.</w:t>
      </w:r>
    </w:p>
    <w:p>
      <w:pPr>
        <w:pStyle w:val="Heading2"/>
      </w:pPr>
      <w:r>
        <w:t xml:space="preserve">7.3 Discussion</w:t>
      </w:r>
    </w:p>
    <w:p>
      <w:pPr>
        <w:spacing w:after="160" w:line="360"/>
        <w:jc w:val="both"/>
      </w:pPr>
      <w:r>
        <w:t xml:space="preserve">The main lesson of the project is that privacy has to be built into the structure of the code from the start. Adding it later as a feature does not work.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honest wording is a requirement. Early screens said the doctor “keeps no copy” and that the server “cannot read” the data. Both were withdrawn: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a doctor will reuse a result instead of ordering it again only if they trust where it came from. Access control alone is not enough; the doctor needs the laboratory, the sample date, the printed range and the original image. These are shown on every result.</w:t>
      </w: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shows that a patient can hold a complete, useful health record on their own phone and share exactly the right part of it with a verified doctor for a limited time, while the server that carries the data can never read it. The prototype covers the full loop (capture, understanding, sharing, prescribing back, reminders, emergencies, family, backup and export) across a patient app, a doctor app and a server, and every privacy and safety promise it makes is checked by an automated test. All 354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locally (over USB) and has not been deployed on the public internet.</w:t>
      </w:r>
    </w:p>
    <w:p>
      <w:pPr>
        <w:pStyle w:val="Heading2"/>
      </w:pPr>
      <w:r>
        <w:t xml:space="preserve">8.3 Future scope</w:t>
      </w:r>
    </w:p>
    <w:p>
      <w:pPr>
        <w:pStyle w:val="ListParagraph"/>
        <w:numPr>
          <w:ilvl w:val="0"/>
          <w:numId w:val="4"/>
        </w:numPr>
        <w:spacing w:after="80" w:line="340"/>
        <w:jc w:val="both"/>
      </w:pPr>
      <w:r>
        <w:t xml:space="preserve">ABDM / ABHA integration: verify ABHA, link records as a health information user, and map ABDM consent artefacts as a separate long-lived type.</w:t>
      </w:r>
    </w:p>
    <w:p>
      <w:pPr>
        <w:pStyle w:val="ListParagraph"/>
        <w:numPr>
          <w:ilvl w:val="0"/>
          <w:numId w:val="4"/>
        </w:numPr>
        <w:spacing w:after="80" w:line="340"/>
        <w:jc w:val="both"/>
      </w:pPr>
      <w:r>
        <w:t xml:space="preserve">DigiLocker partner registration to replace the practice stand-in.</w:t>
      </w:r>
    </w:p>
    <w:p>
      <w:pPr>
        <w:pStyle w:val="ListParagraph"/>
        <w:numPr>
          <w:ilvl w:val="0"/>
          <w:numId w:val="4"/>
        </w:numPr>
        <w:spacing w:after="80" w:line="340"/>
        <w:jc w:val="both"/>
      </w:pPr>
      <w:r>
        <w:t xml:space="preserve">FHIR R4 export of records with Provenance resources.</w:t>
      </w:r>
    </w:p>
    <w:p>
      <w:pPr>
        <w:pStyle w:val="ListParagraph"/>
        <w:numPr>
          <w:ilvl w:val="0"/>
          <w:numId w:val="4"/>
        </w:numPr>
        <w:spacing w:after="80" w:line="340"/>
        <w:jc w:val="both"/>
      </w:pPr>
      <w:r>
        <w:t xml:space="preserve">Hosted deployment of the server behind a reverse proxy, with push notifications instead of polling.</w:t>
      </w:r>
    </w:p>
    <w:p>
      <w:pPr>
        <w:pStyle w:val="ListParagraph"/>
        <w:numPr>
          <w:ilvl w:val="0"/>
          <w:numId w:val="4"/>
        </w:numPr>
        <w:spacing w:after="80" w:line="340"/>
        <w:jc w:val="both"/>
      </w:pPr>
      <w:r>
        <w:t xml:space="preserve">iOS support, including on-device OCR with Apple Vision.</w:t>
      </w:r>
    </w:p>
    <w:p>
      <w:pPr>
        <w:pStyle w:val="ListParagraph"/>
        <w:numPr>
          <w:ilvl w:val="0"/>
          <w:numId w:val="4"/>
        </w:numPr>
        <w:spacing w:after="80" w:line="340"/>
        <w:jc w:val="both"/>
      </w:pPr>
      <w:r>
        <w:t xml:space="preserve">OCR accuracy study on real photographed reports from Indian laboratories.</w:t>
      </w:r>
    </w:p>
    <w:p>
      <w:pPr>
        <w:pStyle w:val="ListParagraph"/>
        <w:numPr>
          <w:ilvl w:val="0"/>
          <w:numId w:val="4"/>
        </w:numPr>
        <w:spacing w:after="80" w:line="340"/>
        <w:jc w:val="both"/>
      </w:pPr>
      <w:r>
        <w:t xml:space="preserve">Relative-contributed family history, with that relative’s own consent per request.</w:t>
      </w:r>
    </w:p>
    <w:p>
      <w:pPr>
        <w:pStyle w:val="ListParagraph"/>
        <w:numPr>
          <w:ilvl w:val="0"/>
          <w:numId w:val="4"/>
        </w:numPr>
        <w:spacing w:after="80" w:line="340"/>
        <w:jc w:val="both"/>
      </w:pPr>
      <w:r>
        <w:t xml:space="preserve">Plane C (Tier 2) cloud analysis, only with a certified service and the human-tap safeguards already designed.</w:t>
      </w:r>
    </w:p>
    <w:p>
      <w:pPr>
        <w:pStyle w:val="ListParagraph"/>
        <w:numPr>
          <w:ilvl w:val="0"/>
          <w:numId w:val="4"/>
        </w:numPr>
        <w:spacing w:after="80" w:line="340"/>
        <w:jc w:val="both"/>
      </w:pPr>
      <w:r>
        <w:t xml:space="preserve">Pilot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server address and registry key; install it with </w:t>
      </w:r>
      <w:r>
        <w:rPr>
          <w:rFonts w:ascii="Courier New" w:cs="Courier New" w:eastAsia="Courier New" w:hAnsi="Courier New"/>
          <w:sz w:val="21"/>
          <w:szCs w:val="21"/>
        </w:rPr>
        <w:t xml:space="preserve">adb install</w:t>
      </w:r>
      <w:r>
        <w:t xml:space="preserve">.</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a317daca580ea3b58bcfeb2e6c35024af80172b.png"/><Relationship Id="rId10" Type="http://schemas.openxmlformats.org/officeDocument/2006/relationships/image" Target="media/d00c79a1bae2dd84edde2ccc885f51eb7a6c0af8.png"/><Relationship Id="rId11" Type="http://schemas.openxmlformats.org/officeDocument/2006/relationships/image" Target="media/a384825bda1fc601f92a3f0790d0c71c067c0d4c.png"/><Relationship Id="rId12" Type="http://schemas.openxmlformats.org/officeDocument/2006/relationships/image" Target="media/3efc32e7d8388fc3e9ec62df49ab4fec61638c56.png"/><Relationship Id="rId13" Type="http://schemas.openxmlformats.org/officeDocument/2006/relationships/image" Target="media/f6d9552019b2d7f090287a1ecd6e756850a7d60a.png"/><Relationship Id="rId14" Type="http://schemas.openxmlformats.org/officeDocument/2006/relationships/image" Target="media/4b124d02ed54619ea4f2ecc365b6cac334c1c089.png"/><Relationship Id="rId15" Type="http://schemas.openxmlformats.org/officeDocument/2006/relationships/image" Target="media/2d18537aaa56407b9771fda06c12bd96042d8775.png"/><Relationship Id="rId16" Type="http://schemas.openxmlformats.org/officeDocument/2006/relationships/image" Target="media/3543878a391550670b5a07341badf858f3ab2733.png"/><Relationship Id="rId17" Type="http://schemas.openxmlformats.org/officeDocument/2006/relationships/image" Target="media/bba36497c5490d0ae796dcef15fa1b0e78d1b0d2.png"/><Relationship Id="rId18" Type="http://schemas.openxmlformats.org/officeDocument/2006/relationships/image" Target="media/3de618c7f2f92a350e51f65e1c35085ee1cdc1ae.png"/><Relationship Id="rId19" Type="http://schemas.openxmlformats.org/officeDocument/2006/relationships/image" Target="media/e5908de545fd4ec30c10260f5b4dc6b6d2145ec7.png"/><Relationship Id="rId20" Type="http://schemas.openxmlformats.org/officeDocument/2006/relationships/image" Target="media/867d2e1d8f2d774f9925e3afb91213727f2d90f8.png"/><Relationship Id="rId21" Type="http://schemas.openxmlformats.org/officeDocument/2006/relationships/image" Target="media/d124c38991c228d320ea1cfd74effa75b32714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NTCC Project Report</dc:title>
  <dc:creator>LifeTrack Health</dc:creator>
  <cp:lastModifiedBy>Un-named</cp:lastModifiedBy>
  <cp:revision>1</cp:revision>
  <dcterms:created xsi:type="dcterms:W3CDTF">2026-10-05T10:51:07.689Z</dcterms:created>
  <dcterms:modified xsi:type="dcterms:W3CDTF">2026-10-05T10:51:07.695Z</dcterms:modified>
</cp:coreProperties>
</file>

<file path=docProps/custom.xml><?xml version="1.0" encoding="utf-8"?>
<Properties xmlns="http://schemas.openxmlformats.org/officeDocument/2006/custom-properties" xmlns:vt="http://schemas.openxmlformats.org/officeDocument/2006/docPropsVTypes"/>
</file>