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i/>
          <w:iCs/>
          <w:sz w:val="22"/>
          <w:szCs w:val="22"/>
        </w:rPr>
        <w:t xml:space="preserve">Twelve weeks: 1 September – 23 November 2026</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rPr>
        <w:t xml:space="preserve">Bachelor of Science in Information Technology (B.Sc. IT)</w:t>
      </w:r>
    </w:p>
    <w:p/>
    <w:p>
      <w:pPr>
        <w:spacing w:after="160" w:line="360"/>
        <w:jc w:val="center"/>
      </w:pPr>
      <w:r>
        <w:rPr>
          <w:sz w:val="24"/>
          <w:szCs w:val="24"/>
        </w:rPr>
        <w:t xml:space="preserve">Submitted by</w:t>
      </w:r>
    </w:p>
    <w:p>
      <w:pPr>
        <w:spacing w:after="160" w:line="360"/>
        <w:jc w:val="center"/>
      </w:pPr>
      <w:r>
        <w:rPr>
          <w:b/>
          <w:bCs/>
          <w:sz w:val="24"/>
          <w:szCs w:val="24"/>
        </w:rPr>
        <w:t xml:space="preserve">Anish Raj</w:t>
      </w:r>
    </w:p>
    <w:p>
      <w:pPr>
        <w:spacing w:after="160" w:line="360"/>
        <w:jc w:val="center"/>
      </w:pPr>
      <w:r>
        <w:rPr>
          <w:sz w:val="24"/>
          <w:szCs w:val="24"/>
        </w:rPr>
        <w:t xml:space="preserve">Enrolment No. A45304925031</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rPr>
        <w:t xml:space="preserve">Assistant Professor,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2025–2028  ·  November 2026</w:t>
      </w:r>
    </w:p>
    <w:p>
      <w:pPr>
        <w:sectPr>
          <w:pgSz w:w="11906" w:h="16838" w:orient="portrait"/>
          <w:pgMar w:top="1440" w:right="1440" w:bottom="1440" w:left="1440" w:header="708" w:footer="708" w:gutter="0"/>
          <w:pgBorders w:display="allPages" w:offsetFrom="page">
            <w:top w:val="double" w:color="333333" w:sz="12" w:space="24"/>
            <w:left w:val="double" w:color="333333" w:sz="12" w:space="24"/>
            <w:bottom w:val="double" w:color="333333" w:sz="12" w:space="24"/>
            <w:right w:val="double" w:color="333333" w:sz="12" w:space="24"/>
          </w:pgBorders>
          <w:pgNumType/>
          <w:docGrid w:linePitch="360"/>
        </w:sectPr>
      </w:pPr>
    </w:p>
    <w:p>
      <w:pPr>
        <w:pStyle w:val="Title"/>
        <w:pageBreakBefore/>
      </w:pPr>
      <w:r>
        <w:t xml:space="preserve">DECLARATION</w:t>
      </w:r>
    </w:p>
    <w:p>
      <w:pPr>
        <w:spacing w:after="160" w:line="360"/>
        <w:jc w:val="both"/>
      </w:pPr>
      <w:r>
        <w:t xml:space="preserve">I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Bachelor of Science in Information Technology (B.Sc. IT), is a record of original work carried out by me under the supervision of Dr. Priyadarshini Gupta.</w:t>
      </w:r>
    </w:p>
    <w:p>
      <w:pPr>
        <w:spacing w:after="160" w:line="360"/>
        <w:jc w:val="both"/>
      </w:pPr>
      <w:r>
        <w:t xml:space="preserve">The software described in this report was designed, built and tested by me. Published standards, laws and libraries used in the work are acknowledged in the References, and the software tools used, including an AI coding assistant, in the Acknowledgement. This report has not been submitted, in part or in full, to any other university or institution for the award of any degree or diploma.</w:t>
      </w:r>
    </w:p>
    <w:p/>
    <w:p/>
    <w:p>
      <w:pPr>
        <w:spacing w:after="160" w:line="360"/>
        <w:jc w:val="left"/>
      </w:pPr>
      <w:r>
        <w:rPr>
          <w:b/>
          <w:bCs/>
        </w:rPr>
        <w:t xml:space="preserve">Anish Raj</w:t>
      </w:r>
    </w:p>
    <w:p>
      <w:pPr>
        <w:spacing w:after="160" w:line="360"/>
        <w:jc w:val="left"/>
      </w:pPr>
      <w:r>
        <w:t xml:space="preserve">Enrolment No. A45304925031</w:t>
      </w:r>
    </w:p>
    <w:p>
      <w:pPr>
        <w:spacing w:after="160" w:line="360"/>
        <w:jc w:val="left"/>
      </w:pPr>
      <w:r>
        <w:t xml:space="preserve">Signature: ____________________</w:t>
      </w:r>
    </w:p>
    <w:p>
      <w:pPr>
        <w:spacing w:after="160" w:line="360"/>
        <w:jc w:val="left"/>
      </w:pPr>
      <w:r>
        <w:t xml:space="preserve">Place: Patna						Date: ____________</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Anish Raj (Enrolment No. A45304925031) in partial fulfilment of the requirements for the degree of Bachelor of Science in Information Technology (B.Sc. IT) at Amity Institute of Information Technology, Amity University Patna, is a bona fide record of work carried out under my supervision during the academic session 2025–2028.</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t xml:space="preserve">Assistant Professor</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I express my sincere gratitude to my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I thank the Director and faculty of Amity Institute of Information Technology, Amity University Patna, for providing the environment and resources to carry out this work, and my classmates for testing early versions of the apps and reporting what confused them.</w:t>
      </w:r>
    </w:p>
    <w:p>
      <w:pPr>
        <w:spacing w:after="160" w:line="360"/>
        <w:jc w:val="both"/>
      </w:pPr>
      <w:r>
        <w:t xml:space="preserve">I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Parts of the code and of this report were drafted with the help of an AI coding assistant (Claude, by Anthropic). I directed the work, reviewed what it produced, and ran and checked the tests reported here.</w:t>
      </w:r>
    </w:p>
    <w:p>
      <w:pPr>
        <w:spacing w:after="160" w:line="360"/>
        <w:jc w:val="both"/>
      </w:pPr>
      <w:r>
        <w:t xml:space="preserve">Finally, I thank my family for their patience and support.</w:t>
      </w:r>
    </w:p>
    <w:p/>
    <w:p/>
    <w:p>
      <w:pPr>
        <w:spacing w:after="160" w:line="360"/>
        <w:jc w:val="right"/>
      </w:pPr>
      <w:r>
        <w:t xml:space="preserve">Anish Raj</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The cause is usually scattered data, not poor clinical judgement. The patient is the only person present at every encounter, yet rarely holds a complete record.</w:t>
      </w:r>
    </w:p>
    <w:p>
      <w:pPr>
        <w:spacing w:after="120" w:line="320"/>
        <w:jc w:val="both"/>
      </w:pPr>
      <w:r>
        <w:t xml:space="preserve">LifeTrack Health is a working prototype of a health record that the patient owns and keeps on their own phone. It has four parts: an Android patient app built in Flutter; LifeTrack Clinic,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(Summary, All reports, Family illnesses or Home readings)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is written in Dart and Flutter (about 25,800 lines of application code). It has 395 automated tests at unit, widget, invariant, layout and end-to-end integration level, and all of them pass with a clean static analysis. The patient app’s interface was reviewed screen by screen twice and then restyled, and tests lay out every main screen at three phone widths and three text sizes and keep the health-status colours distinguishable for colour-blind users. The invariant tests turn the project’s privacy promises into checks that fail the build: no screen may claim the server “cannot read” the data, for example, and no agent may issue itself a grant. The principal open items are ABDM/ABHA integration and a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Title"/>
        <w:pageBreakBefore/>
      </w:pPr>
      <w:r>
        <w:t xml:space="preserve">LIST OF FIGURES</w:t>
      </w:r>
    </w:p>
    <w:p>
      <w:pPr>
        <w:spacing w:after="80"/>
      </w:pPr>
      <w:r>
        <w:rPr>
          <w:sz w:val="22"/>
          <w:szCs w:val="22"/>
        </w:rPr>
        <w:t xml:space="preserve">Figure 3.1  Use-case diagram</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4.6  Entity-relationship diagram</w:t>
      </w:r>
    </w:p>
    <w:p>
      <w:pPr>
        <w:spacing w:after="80"/>
      </w:pPr>
      <w:r>
        <w:rPr>
          <w:sz w:val="22"/>
          <w:szCs w:val="22"/>
        </w:rPr>
        <w:t xml:space="preserve">Figure 5.1  Patient app: Reminders, Records and Insights</w:t>
      </w:r>
    </w:p>
    <w:p>
      <w:pPr>
        <w:spacing w:after="80"/>
      </w:pPr>
      <w:r>
        <w:rPr>
          <w:sz w:val="22"/>
          <w:szCs w:val="22"/>
        </w:rPr>
        <w:t xml:space="preserve">Figure 5.2  Patient app: Share, scanning a doctor’s code, and Me</w:t>
      </w:r>
    </w:p>
    <w:p>
      <w:pPr>
        <w:spacing w:after="80"/>
      </w:pPr>
      <w:r>
        <w:rPr>
          <w:sz w:val="22"/>
          <w:szCs w:val="22"/>
        </w:rPr>
        <w:t xml:space="preserve">Figure 5.3  Adding a report: choose, add pages, and the saved record</w:t>
      </w:r>
    </w:p>
    <w:p>
      <w:pPr>
        <w:spacing w:after="80"/>
      </w:pPr>
      <w:r>
        <w:rPr>
          <w:sz w:val="22"/>
          <w:szCs w:val="22"/>
        </w:rPr>
        <w:t xml:space="preserve">Figure 5.4  Family overview with the family tree, and adding a person</w:t>
      </w:r>
    </w:p>
    <w:p>
      <w:pPr>
        <w:spacing w:after="80"/>
      </w:pPr>
      <w:r>
        <w:rPr>
          <w:sz w:val="22"/>
          <w:szCs w:val="22"/>
        </w:rPr>
        <w:t xml:space="preserve">Figure 5.5  Emergency ID card and its plain-text QR code</w:t>
      </w:r>
    </w:p>
    <w:p>
      <w:pPr>
        <w:spacing w:after="80"/>
      </w:pPr>
      <w:r>
        <w:rPr>
          <w:sz w:val="22"/>
          <w:szCs w:val="22"/>
        </w:rPr>
        <w:t xml:space="preserve">Figure 5.6  Welcome screen, lock screen and the first step of creating a profile</w:t>
      </w:r>
    </w:p>
    <w:p>
      <w:pPr>
        <w:spacing w:after="80"/>
      </w:pPr>
      <w:r>
        <w:rPr>
          <w:sz w:val="22"/>
          <w:szCs w:val="22"/>
        </w:rPr>
        <w:t xml:space="preserve">Figure 5.7  Dark mode: Reminders and Records</w:t>
      </w:r>
    </w:p>
    <w:p>
      <w:pPr>
        <w:spacing w:after="80"/>
      </w:pPr>
      <w:r>
        <w:rPr>
          <w:sz w:val="22"/>
          <w:szCs w:val="22"/>
        </w:rPr>
        <w:t xml:space="preserve">Figure 5.8  LifeTrack Clinic: verified code, request by ID and an arrived share</w:t>
      </w:r>
    </w:p>
    <w:p>
      <w:pPr>
        <w:spacing w:after="80"/>
      </w:pPr>
      <w:r>
        <w:rPr>
          <w:sz w:val="22"/>
          <w:szCs w:val="22"/>
        </w:rPr>
        <w:t xml:space="preserve">Figure 5.9  LifeTrack Clinic: a shared summary and a prescription being written</w:t>
      </w:r>
    </w:p>
    <w:p>
      <w:pPr>
        <w:spacing w:after="80"/>
      </w:pPr>
      <w:r>
        <w:rPr>
          <w:sz w:val="22"/>
          <w:szCs w:val="22"/>
        </w:rPr>
        <w:t xml:space="preserve">Figure 5.10  LifeTrack Clinic: the Profile tab</w:t>
      </w:r>
    </w:p>
    <w:p>
      <w:pPr>
        <w:pStyle w:val="Title"/>
        <w:pageBreakBefore/>
      </w:pPr>
      <w:r>
        <w:t xml:space="preserve">LIST OF TABLES</w:t>
      </w:r>
    </w:p>
    <w:p>
      <w:pPr>
        <w:spacing w:after="80"/>
      </w:pPr>
      <w:r>
        <w:rPr>
          <w:sz w:val="22"/>
          <w:szCs w:val="22"/>
        </w:rPr>
        <w:t xml:space="preserve">Table 1.1  Twelve-week project schedule</w:t>
      </w:r>
    </w:p>
    <w:p>
      <w:pPr>
        <w:spacing w:after="80"/>
      </w:pPr>
      <w:r>
        <w:rPr>
          <w:sz w:val="22"/>
          <w:szCs w:val="22"/>
        </w:rPr>
        <w:t xml:space="preserve">Table 1.2  Gantt chart of the twelve-week schedule (dark: completed; light: planned)</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patient app</w:t>
      </w:r>
    </w:p>
    <w:p>
      <w:pPr>
        <w:spacing w:after="80"/>
      </w:pPr>
      <w:r>
        <w:rPr>
          <w:sz w:val="22"/>
          <w:szCs w:val="22"/>
        </w:rPr>
        <w:t xml:space="preserve">Table 3.3  Functional requirements: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3.6  Main use cases</w:t>
      </w:r>
    </w:p>
    <w:p>
      <w:pPr>
        <w:spacing w:after="80"/>
      </w:pPr>
      <w:r>
        <w:rPr>
          <w:sz w:val="22"/>
          <w:szCs w:val="22"/>
        </w:rPr>
        <w:t xml:space="preserve">Table 4.1  Access levels</w:t>
      </w:r>
    </w:p>
    <w:p>
      <w:pPr>
        <w:spacing w:after="80"/>
      </w:pPr>
      <w:r>
        <w:rPr>
          <w:sz w:val="22"/>
          <w:szCs w:val="22"/>
        </w:rPr>
        <w:t xml:space="preserve">Table 4.2  Trend thresholds used by Plane A</w:t>
      </w:r>
    </w:p>
    <w:p>
      <w:pPr>
        <w:spacing w:after="80"/>
      </w:pPr>
      <w:r>
        <w:rPr>
          <w:sz w:val="22"/>
          <w:szCs w:val="22"/>
        </w:rPr>
        <w:t xml:space="preserve">Table 5.1  Technology stack</w:t>
      </w:r>
    </w:p>
    <w:p>
      <w:pPr>
        <w:spacing w:after="80"/>
      </w:pPr>
      <w:r>
        <w:rPr>
          <w:sz w:val="22"/>
          <w:szCs w:val="22"/>
        </w:rPr>
        <w:t xml:space="preserve">Table 5.2  Code size by part (17 October 2026)</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7.2  Comparison with existing categories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w:t>
      </w:r>
      <w:r>
        <w:t xml:space="preserve">	Density-independent pixel (Android layout unit)</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ER</w:t>
      </w:r>
      <w:r>
        <w:t xml:space="preserve">	Entity-Relationship</w:t>
      </w:r>
    </w:p>
    <w:p>
      <w:pPr>
        <w:tabs>
          <w:tab w:val="left" w:pos="1800"/>
        </w:tabs>
        <w:spacing w:after="60"/>
      </w:pPr>
      <w:r>
        <w:rPr>
          <w:b/>
          <w:bCs/>
        </w:rPr>
        <w:t xml:space="preserve">GF</w:t>
      </w:r>
      <w:r>
        <w:t xml:space="preserve">	Galois Field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sp</w:t>
      </w:r>
      <w:r>
        <w:t xml:space="preserve">	Scale-independent pixel (Android text-size unit)</w:t>
      </w:r>
    </w:p>
    <w:p>
      <w:pPr>
        <w:tabs>
          <w:tab w:val="left" w:pos="1800"/>
        </w:tabs>
        <w:spacing w:after="60"/>
      </w:pPr>
      <w:r>
        <w:rPr>
          <w:b/>
          <w:bCs/>
        </w:rPr>
        <w:t xml:space="preserve">UI</w:t>
      </w:r>
      <w:r>
        <w:t xml:space="preserve">	User Interface</w:t>
      </w:r>
    </w:p>
    <w:p>
      <w:pPr>
        <w:tabs>
          <w:tab w:val="left" w:pos="1800"/>
        </w:tabs>
        <w:spacing w:after="60"/>
      </w:pPr>
      <w:r>
        <w:rPr>
          <w:b/>
          <w:bCs/>
        </w:rPr>
        <w:t xml:space="preserve">UIP</w:t>
      </w:r>
      <w:r>
        <w:t xml:space="preserve">	Universal Immunisation Programme</w:t>
      </w:r>
    </w:p>
    <w:p>
      <w:pPr>
        <w:tabs>
          <w:tab w:val="left" w:pos="1800"/>
        </w:tabs>
        <w:spacing w:after="60"/>
      </w:pPr>
      <w:r>
        <w:rPr>
          <w:b/>
          <w:bCs/>
        </w:rPr>
        <w:t xml:space="preserve">WCAG</w:t>
      </w:r>
      <w:r>
        <w:t xml:space="preserve">	Web Content Accessibility Guidelines</w:t>
      </w:r>
    </w:p>
    <w:p>
      <w:pPr>
        <w:tabs>
          <w:tab w:val="left" w:pos="1800"/>
        </w:tabs>
        <w:spacing w:after="60"/>
      </w:pPr>
      <w:r>
        <w:rPr>
          <w:b/>
          <w:bCs/>
        </w:rPr>
        <w:t xml:space="preserve">ΔE</w:t>
      </w:r>
      <w:r>
        <w:t xml:space="preserve">	Colour difference measured in the CIELAB colour space</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In India, health care comes from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(prescriptions, lab printouts, discharge summaries and scan reports)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In a local-first design the main copy lives on the patient’s device and leaves it only encrypted, and only when the patient asks. That removes the central store of readable records. Building such a system end to end, with the cryptography, the consent rules and a doctor-side app, requires work across mobile development, security, distributed systems, user-interface design and law, which made it a suitable scope for this project.</w:t>
      </w:r>
    </w:p>
    <w:p>
      <w:pPr>
        <w:pStyle w:val="Heading2"/>
      </w:pPr>
      <w:r>
        <w:t xml:space="preserve">1.4 Objectives</w:t>
      </w:r>
    </w:p>
    <w:p>
      <w:pPr>
        <w:pStyle w:val="ListParagraph"/>
        <w:numPr>
          <w:ilvl w:val="0"/>
          <w:numId w:val="3"/>
        </w:numPr>
        <w:spacing w:after="80" w:line="340"/>
        <w:jc w:val="both"/>
      </w:pPr>
      <w:r>
        <w:t xml:space="preserve">Build a patient-owned record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clinician access explicit, time-limited and revocable: the patient approves a level of access for one verified doctor for a chosen time, and can shorten, extend or end it.</w:t>
      </w:r>
    </w:p>
    <w:p>
      <w:pPr>
        <w:pStyle w:val="ListParagraph"/>
        <w:numPr>
          <w:ilvl w:val="0"/>
          <w:numId w:val="3"/>
        </w:numPr>
        <w:spacing w:after="80" w:line="340"/>
        <w:jc w:val="both"/>
      </w:pPr>
      <w:r>
        <w:t xml:space="preserve">Make sure no server can read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useful, safe insights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typing by reading photographed and PDF lab reports on the device (OCR), with the patient confirming uncertain fields.</w:t>
      </w:r>
    </w:p>
    <w:p>
      <w:pPr>
        <w:pStyle w:val="ListParagraph"/>
        <w:numPr>
          <w:ilvl w:val="0"/>
          <w:numId w:val="3"/>
        </w:numPr>
        <w:spacing w:after="80" w:line="340"/>
        <w:jc w:val="both"/>
      </w:pPr>
      <w:r>
        <w:t xml:space="preserve">Build a doctor app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verifiable: express the system’s rules as automated tests that fail the build when broken.</w:t>
      </w:r>
    </w:p>
    <w:p>
      <w:pPr>
        <w:pStyle w:val="ListParagraph"/>
        <w:numPr>
          <w:ilvl w:val="0"/>
          <w:numId w:val="3"/>
        </w:numPr>
        <w:spacing w:after="80" w:line="340"/>
        <w:jc w:val="both"/>
      </w:pPr>
      <w:r>
        <w:t xml:space="preserve">Design an interface that older patients and caregivers can use: readable on small screens and at large text sizes, with WCAG AA contrast in light and dark mode, and health-status colours that colour-blind users can tell apart.</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Methodology</w:t>
      </w:r>
    </w:p>
    <w:p>
      <w:pPr>
        <w:spacing w:after="160" w:line="360"/>
        <w:jc w:val="both"/>
      </w:pPr>
      <w:r>
        <w:t xml:space="preserve">Development followed an incremental model in six stages. Each stage ended with working, tested software rather than documents alone.</w:t>
      </w:r>
    </w:p>
    <w:p>
      <w:pPr>
        <w:pStyle w:val="ListParagraph"/>
        <w:numPr>
          <w:ilvl w:val="0"/>
          <w:numId w:val="4"/>
        </w:numPr>
        <w:spacing w:after="80" w:line="340"/>
        <w:jc w:val="both"/>
      </w:pPr>
      <w:r>
        <w:t xml:space="preserve">Requirements and threat analysis: the patient, doctor and family needs listed in Chapter 3, together with the ways health data can leak (a readable server copy, an over-broad grant, a misleading claim on screen).</w:t>
      </w:r>
    </w:p>
    <w:p>
      <w:pPr>
        <w:pStyle w:val="ListParagraph"/>
        <w:numPr>
          <w:ilvl w:val="0"/>
          <w:numId w:val="4"/>
        </w:numPr>
        <w:spacing w:after="80" w:line="340"/>
        <w:jc w:val="both"/>
      </w:pPr>
      <w:r>
        <w:t xml:space="preserve">Architecture and invariants: the three-plane structure, the single consent authority and eighteen written invariants (rules the code must never break), each tied to a test.</w:t>
      </w:r>
    </w:p>
    <w:p>
      <w:pPr>
        <w:pStyle w:val="ListParagraph"/>
        <w:numPr>
          <w:ilvl w:val="0"/>
          <w:numId w:val="4"/>
        </w:numPr>
        <w:spacing w:after="80" w:line="340"/>
        <w:jc w:val="both"/>
      </w:pPr>
      <w:r>
        <w:t xml:space="preserve">Incremental feature releases: each feature (records, insights, sharing, reminders, family, backup, OCR and so on) was built as a separate version with its own tests and a changelog line.</w:t>
      </w:r>
    </w:p>
    <w:p>
      <w:pPr>
        <w:pStyle w:val="ListParagraph"/>
        <w:numPr>
          <w:ilvl w:val="0"/>
          <w:numId w:val="4"/>
        </w:numPr>
        <w:spacing w:after="80" w:line="340"/>
        <w:jc w:val="both"/>
      </w:pPr>
      <w:r>
        <w:t xml:space="preserve">Security review rounds: two dedicated hardening releases fixed issues found by reviewing the code against the invariants.</w:t>
      </w:r>
    </w:p>
    <w:p>
      <w:pPr>
        <w:pStyle w:val="ListParagraph"/>
        <w:numPr>
          <w:ilvl w:val="0"/>
          <w:numId w:val="4"/>
        </w:numPr>
        <w:spacing w:after="80" w:line="340"/>
        <w:jc w:val="both"/>
      </w:pPr>
      <w:r>
        <w:t xml:space="preserve">Interface design and review: two screen-by-screen reviews of the patient app, each followed by a series of small releases, then a visual restyle. Layout, contrast and colour-vision tests keep the result from regressing.</w:t>
      </w:r>
    </w:p>
    <w:p>
      <w:pPr>
        <w:pStyle w:val="ListParagraph"/>
        <w:numPr>
          <w:ilvl w:val="0"/>
          <w:numId w:val="4"/>
        </w:numPr>
        <w:spacing w:after="80" w:line="340"/>
        <w:jc w:val="both"/>
      </w:pPr>
      <w:r>
        <w:t xml:space="preserve">Integration and device testing: both apps were run against the real server handler in automated integration tests, and the release build was tested by hand on an Android phone.</w:t>
      </w:r>
    </w:p>
    <w:p>
      <w:pPr>
        <w:spacing w:after="160" w:line="360"/>
        <w:jc w:val="both"/>
      </w:pPr>
      <w:r>
        <w:t xml:space="preserve">The guiding rule across all stages, taken from the project proposal, was that a claim about the system is accepted only when a test can prove it.</w:t>
      </w:r>
    </w:p>
    <w:p>
      <w:pPr>
        <w:pStyle w:val="Heading2"/>
      </w:pPr>
      <w:r>
        <w:t xml:space="preserve">1.7 Project schedule</w:t>
      </w:r>
    </w:p>
    <w:p>
      <w:pPr>
        <w:spacing w:after="160" w:line="360"/>
        <w:jc w:val="both"/>
      </w:pPr>
      <w:r>
        <w:t xml:space="preserve">The project is planned over twelve weeks, from 1 September to 23 November 2026. Table 1.1 lists the work for each week and its status on 17 October 2026, when this report was last updated. Weeks 1 to 7 are complete. Weeks 8 to 12 are still ahead and are set aside for testing on more phones, a usability check, documentation and the final review. Table 1.2 shows the same plan as a Gantt chart.</w:t>
      </w:r>
    </w:p>
    <w:p>
      <w:pPr>
        <w:keepNext/>
        <w:spacing w:after="80" w:before="160"/>
        <w:jc w:val="center"/>
      </w:pPr>
      <w:r>
        <w:rPr>
          <w:b/>
          <w:bCs/>
          <w:sz w:val="20"/>
          <w:szCs w:val="20"/>
        </w:rPr>
        <w:t xml:space="preserve">Table 1.1: Twelve-week project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5626"/>
        <w:gridCol w:w="1200"/>
      </w:tblGrid>
      <w:tr>
        <w:trPr>
          <w:tblHeader/>
        </w:trPr>
        <w:tc>
          <w:tcPr>
            <w:tcW w:type="dxa" w:w="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Week</w:t>
            </w:r>
          </w:p>
        </w:tc>
        <w:tc>
          <w:tcPr>
            <w:tcW w:type="dxa" w:w="1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Dates</w:t>
            </w:r>
          </w:p>
        </w:tc>
        <w:tc>
          <w:tcPr>
            <w:tcW w:type="dxa" w:w="5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Work</w:t>
            </w:r>
          </w:p>
        </w:tc>
        <w:tc>
          <w:tcPr>
            <w:tcW w:type="dxa" w:w="1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Status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1–7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Problem study; review of existing systems, standards and Indian law (DPDP Act, ABDM, Aadhaar Act)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8–14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Requirements: stakeholders, functional and non-functional requirements, use cases, threat analysis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15–21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 design: architecture and the three planes, consent model, data design, written invariants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22–28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design (sealed storage, backup key hierarchy, clinical-share protocol); HTML prototype of the screens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 5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1.0.0–1.19.0, LifeTrack Clinic 1.0.0–1.8.0 and the server; two security review rounds; integration tests; first draft of this report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6–12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Two interface reviews and their fixes; visual restyle; colour-vision check; family tree; server over the home Wi-Fi (patient 1.19.1–1.42.0)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13–19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Layout tests at three widths and three text sizes; faster drawing; full test run; report update (patient 1.42.1–1.42.2)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20–26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 timing and manual tests on more Android phones; fixes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27 Oct – 2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 check with family members and classmates, including older users; fixes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3–9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 check on real photographed lab reports; user guide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10–16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Final review with the guide; report revisions; presentation slides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17–23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Final build, report submission and presentation</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bl>
    <w:p>
      <w:pPr>
        <w:spacing w:after="160"/>
      </w:pPr>
    </w:p>
    <w:p>
      <w:pPr>
        <w:keepNext/>
        <w:pageBreakBefore/>
        <w:spacing w:after="80" w:before="160"/>
        <w:jc w:val="center"/>
      </w:pPr>
      <w:r>
        <w:rPr>
          <w:b/>
          <w:bCs/>
          <w:sz w:val="20"/>
          <w:szCs w:val="20"/>
        </w:rPr>
        <w:t xml:space="preserve">Table 1.2: Gantt chart of the twelve-week schedule (dark: completed; light: planned)</w:t>
      </w:r>
    </w:p>
    <w:tbl>
      <w:tblPr>
        <w:tblW w:type="dxa" w:w="90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6"/>
        <w:gridCol w:w="516"/>
        <w:gridCol w:w="516"/>
        <w:gridCol w:w="516"/>
        <w:gridCol w:w="516"/>
        <w:gridCol w:w="516"/>
        <w:gridCol w:w="516"/>
        <w:gridCol w:w="516"/>
        <w:gridCol w:w="516"/>
        <w:gridCol w:w="516"/>
        <w:gridCol w:w="516"/>
        <w:gridCol w:w="516"/>
        <w:gridCol w:w="516"/>
      </w:tblGrid>
      <w:tr>
        <w:trPr>
          <w:tblHeader/>
        </w:trPr>
        <w:tc>
          <w:tcPr>
            <w:tcW w:type="dxa" w:w="2826"/>
            <w:tcBorders>
              <w:top w:val="single" w:color="808080" w:sz="4"/>
              <w:left w:val="single" w:color="808080" w:sz="4"/>
              <w:bottom w:val="single" w:color="808080" w:sz="4"/>
              <w:right w:val="single" w:color="808080" w:sz="4"/>
            </w:tcBorders>
            <w:shd w:fill="D9E2B6" w:color="auto" w:val="clear"/>
            <w:tcMar>
              <w:top w:type="dxa" w:w="50"/>
              <w:left w:type="dxa" w:w="100"/>
              <w:bottom w:type="dxa" w:w="50"/>
              <w:right w:type="dxa" w:w="100"/>
            </w:tcMar>
            <w:vAlign w:val="center"/>
          </w:tcPr>
          <w:p>
            <w:pPr>
              <w:jc w:val="left"/>
            </w:pPr>
            <w:r>
              <w:rPr>
                <w:b/>
                <w:bCs/>
                <w:sz w:val="18"/>
                <w:szCs w:val="18"/>
              </w:rPr>
              <w:t xml:space="preserve">Activity</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W2</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W3</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W4</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W5</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W6</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W7</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W8</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W9</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W10</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W11</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W12</w:t>
            </w: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Problem study and literature review</w:t>
            </w: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Requirements analysis</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System and security design</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Screen prototype</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Implementation (apps and server)</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Security reviews</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Interface design and review</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Automated and device testing</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Usability check</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OCR check and user guide</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Report writing</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Final review, presentation, submission</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r>
    </w:tbl>
    <w:p>
      <w:pPr>
        <w:spacing w:after="160"/>
      </w:pPr>
    </w:p>
    <w:p>
      <w:pPr>
        <w:pStyle w:val="Heading2"/>
      </w:pPr>
      <w:r>
        <w:t xml:space="preserve">1.8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[8]. HL7’s interoperability standard models clinical data as typed resources such as Patient, Observation, MedicationRequest and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[6].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[9] for authenticated encryption; X25519 (RFC 7748) [10] for key agreement; Ed25519 (RFC 8032) [11] for signatures; HKDF (RFC 5869) [12] for key derivation; Argon2id (RFC 9106) [13] for password hashing, using the OWASP-recommended minimum parameters [14]; Shamir’s secret sharing [15] for recovery codes.</w:t>
      </w:r>
    </w:p>
    <w:p>
      <w:pPr>
        <w:pStyle w:val="ListParagraph"/>
        <w:numPr>
          <w:ilvl w:val="0"/>
          <w:numId w:val="2"/>
        </w:numPr>
        <w:spacing w:after="80" w:line="340"/>
        <w:jc w:val="both"/>
      </w:pPr>
      <w:r>
        <w:rPr>
          <w:b/>
          <w:bCs/>
        </w:rPr>
        <w:t xml:space="preserve">WCAG 2.1 AA</w:t>
      </w:r>
      <w:r>
        <w:t xml:space="preserve"> [19].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[1]. Under the Act, a person must agree knowingly and voluntarily to each use of their data, data may be used only for the purpose agreed, people may see and erase what is held about them, and a parent must consent for a child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[2]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[3] and the 2019 Aadhaar amendment [2]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[5]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[4]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Kleppmann et al. [17] describe local-first software, in which the main copy of the data stays on the user’s own device and the network is used only to sync it and work with others. End-to-end encryption, familiar from messaging, shows that a relay can carry data it cannot read. Clinical-safety guidance for software as a medical device [21]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A review of available systems found none that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labelled tabs; swipe to tick a medicine; touch targets of at least 48 dp; dark mode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secondary text at least 14 sp; every main screen laid out at 320, 360 and 411 dp wide with text at up to twice the normal size (tested); health-status colours kept at least 25 ΔE apart from the accent under every simulated colour-vision deficiency (tested)</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Performance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widgets use the renderer’s fast paths (rounded-rectangle clips and shadows, one shared background blur); photos decoded at the size shown; a frame-timing test runs on the phone in a profile build</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395 automated tests; every update raises the version and adds a changelog line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needed</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Bundled in the apps</w:t>
            </w:r>
          </w:p>
        </w:tc>
      </w:tr>
    </w:tbl>
    <w:p>
      <w:pPr>
        <w:spacing w:after="160"/>
      </w:pPr>
    </w:p>
    <w:p>
      <w:pPr>
        <w:pStyle w:val="Heading2"/>
      </w:pPr>
      <w:r>
        <w:t xml:space="preserve">3.5 Use cases</w:t>
      </w:r>
    </w:p>
    <w:p>
      <w:pPr>
        <w:spacing w:after="160" w:line="360"/>
        <w:jc w:val="both"/>
      </w:pPr>
      <w:r>
        <w:t xml:space="preserve">Figure 3.1 shows the actors and the main use cases. The patient (as head of the family) has the most; a doctor reaches the system only through verified enrolment and patient-approved shares.</w:t>
      </w:r>
    </w:p>
    <w:p>
      <w:pPr>
        <w:keepNext/>
        <w:spacing w:before="12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80"/>
        <w:jc w:val="center"/>
      </w:pPr>
      <w:r>
        <w:rPr>
          <w:i/>
          <w:iCs/>
          <w:sz w:val="20"/>
          <w:szCs w:val="20"/>
        </w:rPr>
        <w:t xml:space="preserve">Figure 3.1: Use-case diagram</w:t>
      </w:r>
    </w:p>
    <w:p>
      <w:pPr>
        <w:keepNext/>
        <w:spacing w:after="80" w:before="160"/>
        <w:jc w:val="center"/>
      </w:pPr>
      <w:r>
        <w:rPr>
          <w:b/>
          <w:bCs/>
          <w:sz w:val="20"/>
          <w:szCs w:val="20"/>
        </w:rPr>
        <w:t xml:space="preserve">Table 3.6: Main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900"/>
        <w:gridCol w:w="1550"/>
        <w:gridCol w:w="4776"/>
      </w:tblGrid>
      <w:tr>
        <w:trPr>
          <w:tblHeader/>
        </w:trPr>
        <w:tc>
          <w:tcPr>
            <w:tcW w:type="dxa" w:w="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Use case</w:t>
            </w:r>
          </w:p>
        </w:tc>
        <w:tc>
          <w:tcPr>
            <w:tcW w:type="dxa" w:w="155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Actor</w:t>
            </w:r>
          </w:p>
        </w:tc>
        <w:tc>
          <w:tcPr>
            <w:tcW w:type="dxa" w:w="477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Main flow</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or scan a record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Types a record, or photographs/imports a report; OCR fills a draft; the patient ticks uncertain fields and confirms.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Scans the doctor’s code; the phone verifies the certificate; the patient picks a level and time; the encrypted bundle is sent.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Respond to an access request</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request from a verified doctor appears; the patient approves (possibly at a lower level or shorter time) or declines.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End or change access</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From “Who has access now”, shortens, extends or ends a share; the doctor’s copy is replaced or closed.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Back up and restore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Turns on backup and receives the generated password and recovery codes; on a new, empty phone restores with them.</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the card from the lock screen without unlocking; the read is logged.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 and get verified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Enters registration details; the administrator approves; the device receives a signed 30-day certificate.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View records and prescribe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an arrived share, reviews the summary, writes and signs a prescription that returns to the patient.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or revoke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Administrator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Reviews pending enrolments and approves, rejects or revokes them with the admin token.</w:t>
            </w:r>
          </w:p>
        </w:tc>
      </w:tr>
    </w:tbl>
    <w:p>
      <w:pPr>
        <w:spacing w:after="160"/>
      </w:pPr>
    </w:p>
    <w:p>
      <w:pPr>
        <w:pStyle w:val="Heading2"/>
      </w:pPr>
      <w:r>
        <w:t xml:space="preserve">3.6 Feasibility study</w:t>
      </w:r>
    </w:p>
    <w:p>
      <w:pPr>
        <w:pStyle w:val="ListParagraph"/>
        <w:numPr>
          <w:ilvl w:val="0"/>
          <w:numId w:val="2"/>
        </w:numPr>
        <w:spacing w:after="80" w:line="340"/>
        <w:jc w:val="both"/>
      </w:pPr>
      <w:r>
        <w:rPr>
          <w:b/>
          <w:bCs/>
        </w:rPr>
        <w:t xml:space="preserve">Technical.</w:t>
      </w:r>
      <w:r>
        <w:t xml:space="preserve"> Flutter and Dart [20] provide mature cryptography, camera, QR and notification support; Tesseract runs fully on-device. Every required flow works end to end in the prototype.</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patient app holds the record. The doctor app, LifeTrack Clinic, is the only other place records can be read, and only while a share is open. The server is kept small and is never trusted with readable content: it signs doctor certificates, carries sealed messages, maps LifeTrack IDs to mailboxes, stores encrypted backups and runs the identity-check flow. A shared Dart package, lifetrack_protocol,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14625"/>
                    </a:xfrm>
                    <a:prstGeom prst="rect">
                      <a:avLst/>
                    </a:prstGeom>
                  </pic:spPr>
                </pic:pic>
              </a:graphicData>
            </a:graphic>
          </wp:inline>
        </w:drawing>
      </w:r>
    </w:p>
    <w:p>
      <w:pPr>
        <w:spacing w:after="240" w:before="80"/>
        <w:jc w:val="center"/>
      </w:pPr>
      <w:r>
        <w:rPr>
          <w:i/>
          <w:iCs/>
          <w:sz w:val="20"/>
          <w:szCs w:val="20"/>
        </w:rPr>
        <w:t xml:space="preserve">Figure 4.1: System architecture</w:t>
      </w:r>
    </w:p>
    <w:p>
      <w:pPr>
        <w:pStyle w:val="Heading2"/>
      </w:pPr>
      <w:r>
        <w:t xml:space="preserve">4.2 Data flow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spacing w:after="240" w:before="8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AppServices, the single entry point, and render Insight objects. Any reader other than the patient (on-device insights, a share, the disabled cloud plane) must go through RecordAccess, which asks ConsentStore whether a stored grant allows the read and writes an audit entry for every read and every refusal. Below that, SealedStore encrypts every blob and FileByteStore writes it atomically (write to a temporary file, flush, rename).</w:t>
      </w:r>
    </w:p>
    <w:p>
      <w:pPr>
        <w:keepNext/>
        <w:spacing w:before="120"/>
        <w:jc w:val="center"/>
      </w:pPr>
      <w:r>
        <w:drawing>
          <wp:inline distT="0" distB="0" distL="0" distR="0">
            <wp:extent cx="5715000" cy="3181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81350"/>
                    </a:xfrm>
                    <a:prstGeom prst="rect">
                      <a:avLst/>
                    </a:prstGeom>
                  </pic:spPr>
                </pic:pic>
              </a:graphicData>
            </a:graphic>
          </wp:inline>
        </w:drawing>
      </w:r>
    </w:p>
    <w:p>
      <w:pPr>
        <w:spacing w:after="240" w:before="8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on-device insights (Tier 1).</w:t>
      </w:r>
      <w:r>
        <w:t xml:space="preserve"> Fixed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looks up the stored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actingGrantor(),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the level aimed at preventing repeat tests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Patient (profile, date of birth, sex, ABHA, role), Custody (who may consent for whom, and the family role), HealthRecord (kind: prescription, report, scan or note; source: typed by patient, smart capture, doctor-issued, restored, lab-signed; provenance badge; test results with the lab’s printed range; medicines with status), ClinicalProfile (allergies, conditions, family illnesses), VitalReading, EmergencyCard (fixed, bounded fields), ConsentToken, and AuditEntry.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19575"/>
                    </a:xfrm>
                    <a:prstGeom prst="rect">
                      <a:avLst/>
                    </a:prstGeom>
                  </pic:spPr>
                </pic:pic>
              </a:graphicData>
            </a:graphic>
          </wp:inline>
        </w:drawing>
      </w:r>
    </w:p>
    <w:p>
      <w:pPr>
        <w:spacing w:after="240" w:before="8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User-chosen passwords are typically weak, and in an encrypted backup the password is the weakest link. LifeTrack therefore generates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962275"/>
                    </a:xfrm>
                    <a:prstGeom prst="rect">
                      <a:avLst/>
                    </a:prstGeom>
                  </pic:spPr>
                </pic:pic>
              </a:graphicData>
            </a:graphic>
          </wp:inline>
        </w:drawing>
      </w:r>
    </w:p>
    <w:p>
      <w:pPr>
        <w:spacing w:after="240" w:before="8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Verhoeff check digit, which catches every single-digit error and every swap of neighbouring digits. IDs always start with 1, so they can never be confused with an Aadhaar number. The server maps an ID only to a reply mailbox and key. It holds no name and no records, and only the token held on the phone can move or delete it.</w:t>
      </w:r>
    </w:p>
    <w:p>
      <w:pPr>
        <w:pStyle w:val="Heading2"/>
      </w:pPr>
      <w:r>
        <w:t xml:space="preserve">4.8 Entity-relationship model</w:t>
      </w:r>
    </w:p>
    <w:p>
      <w:pPr>
        <w:spacing w:after="160" w:line="360"/>
        <w:jc w:val="both"/>
      </w:pPr>
      <w:r>
        <w:t xml:space="preserve">Figure 4.6 shows how the entities in Section 4.5 relate. Everything belongs to a Patient profile. A profile has many records, vital readings, grants and audit entries, and exactly one clinical profile and one Emergency ID. Custody links a grantor (a parent or custodian) to a dependent profile. Each grant has its own trail of audit entries, so every read made under a grant can be listed.</w:t>
      </w:r>
    </w:p>
    <w:p>
      <w:pPr>
        <w:keepNext/>
        <w:spacing w:before="120"/>
        <w:jc w:val="center"/>
      </w:pPr>
      <w:r>
        <w:drawing>
          <wp:inline distT="0" distB="0" distL="0" distR="0">
            <wp:extent cx="5334000" cy="3505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05200"/>
                    </a:xfrm>
                    <a:prstGeom prst="rect">
                      <a:avLst/>
                    </a:prstGeom>
                  </pic:spPr>
                </pic:pic>
              </a:graphicData>
            </a:graphic>
          </wp:inline>
        </w:drawing>
      </w:r>
    </w:p>
    <w:p>
      <w:pPr>
        <w:spacing w:after="240" w:before="80"/>
        <w:jc w:val="center"/>
      </w:pPr>
      <w:r>
        <w:rPr>
          <w:i/>
          <w:iCs/>
          <w:sz w:val="20"/>
          <w:szCs w:val="20"/>
        </w:rPr>
        <w:t xml:space="preserve">Figure 4.6: Entity-relationship diagram</w:t>
      </w:r>
    </w:p>
    <w:p>
      <w:pPr>
        <w:spacing w:after="160" w:line="360"/>
        <w:jc w:val="both"/>
      </w:pPr>
      <w:r>
        <w:t xml:space="preserve">Because the data lives on the phone as sealed JSON documents rather than in a relational database, the relationships are held as identifiers inside the documents. The audit log is append-only and is also sealed on disk.</w:t>
      </w:r>
    </w:p>
    <w:p>
      <w:pPr>
        <w:pStyle w:val="Heading2"/>
      </w:pPr>
      <w:r>
        <w:t xml:space="preserve">4.9 Key algorithms</w:t>
      </w:r>
    </w:p>
    <w:p>
      <w:pPr>
        <w:pStyle w:val="Heading3"/>
      </w:pPr>
      <w:r>
        <w:t xml:space="preserve">Verhoeff check digit</w:t>
      </w:r>
    </w:p>
    <w:p>
      <w:pPr>
        <w:spacing w:after="160" w:line="360"/>
        <w:jc w:val="both"/>
      </w:pPr>
      <w:r>
        <w:t xml:space="preserve">The twelfth digit of a LifeTrack ID is computed with the Verhoeff algorithm [16], which uses the multiplication table of the dihedral group D5, a permutation table and an inverse table. Unlike a simple sum-of-digits check, it detects every single-digit error and every transposition of two adjacent digits, the two most common mistakes when an ID is read out or typed. The first digit is fixed at 1 so that no LifeTrack ID can be mistaken for, or validate as, an Aadhaar number.</w:t>
      </w:r>
    </w:p>
    <w:p>
      <w:pPr>
        <w:pStyle w:val="Heading3"/>
      </w:pPr>
      <w:r>
        <w:t xml:space="preserve">Password derivation</w:t>
      </w:r>
    </w:p>
    <w:p>
      <w:pPr>
        <w:spacing w:after="160" w:line="360"/>
        <w:jc w:val="both"/>
      </w:pPr>
      <w:r>
        <w:t xml:space="preserve">The backup password is stretched with Argon2id [13] using the OWASP minimum parameters [14]: 19 MiB of memory (19,456 KiB), 2 passes and 1 lane, producing a 32-byte root key. At this cost the derivation is slow enough to drop frames, so it runs on a background isolate. HKDF-SHA256 [12] then derives two independent 32-byte keys from the root using different labels: the vault key (lifetrack/v1/vault-key), which never leaves the phone, and the login verifier (lifetrack/v1/login-verifier), which is sent to the server so that it can release the locked backup. Test builds use weaker parameters, and that code path throws an error in a release build.</w:t>
      </w:r>
    </w:p>
    <w:p>
      <w:pPr>
        <w:pStyle w:val="Heading3"/>
      </w:pPr>
      <w:r>
        <w:t xml:space="preserve">Shamir secret sharing</w:t>
      </w:r>
    </w:p>
    <w:p>
      <w:pPr>
        <w:spacing w:after="160" w:line="360"/>
        <w:jc w:val="both"/>
      </w:pPr>
      <w:r>
        <w:t xml:space="preserve">The random data key that encrypts the backup is split with Shamir’s scheme [15] over the finite field GF(2^8) into three shares, any two of which rebuild it; one share alone reveals nothing. Each share carries its index, the threshold and an identifier of the split, and is printed as a recovery code of the form LT1-index-threshold-splitId-hex. Combining fewer shares than the threshold, or shares from different splits, is refused instead of producing a wrong key.</w:t>
      </w:r>
    </w:p>
    <w:p>
      <w:pPr>
        <w:pStyle w:val="Heading3"/>
      </w:pPr>
      <w:r>
        <w:t xml:space="preserve">Insight rules</w:t>
      </w:r>
    </w:p>
    <w:p>
      <w:pPr>
        <w:spacing w:after="160" w:line="360"/>
        <w:jc w:val="both"/>
      </w:pPr>
      <w:r>
        <w:t xml:space="preserve">Plane A compares the latest result for each test with a reference interval for the patient’s age, sex and pregnancy status, checks it against a critical-value table, and looks for movement between consecutive results. A change counts as a trend only when it is larger than a fixed threshold for that test (Table 4.2). Each finding has one of four severities: a note, discuss at the next visit, contact a doctor today, or urgent care.</w:t>
      </w:r>
    </w:p>
    <w:p>
      <w:pPr>
        <w:keepNext/>
        <w:spacing w:after="80" w:before="160"/>
        <w:jc w:val="center"/>
      </w:pPr>
      <w:r>
        <w:rPr>
          <w:b/>
          <w:bCs/>
          <w:sz w:val="20"/>
          <w:szCs w:val="20"/>
        </w:rPr>
        <w:t xml:space="preserve">Table 4.2: Trend thresholds used by Plane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800"/>
        <w:gridCol w:w="2100"/>
        <w:gridCol w:w="2126"/>
      </w:tblGrid>
      <w:tr>
        <w:trPr>
          <w:tblHeader/>
        </w:trPr>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Unit</w:t>
            </w:r>
          </w:p>
        </w:tc>
        <w:tc>
          <w:tcPr>
            <w:tcW w:type="dxa" w:w="21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Minimum change</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Worse direction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HbA1c</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Fasting glucose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Haemoglobin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Creatinine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0.3</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bl>
    <w:p>
      <w:pPr>
        <w:spacing w:after="160"/>
      </w:pP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Interface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widgets with the project’s own component set; Sora typeface and Lucide icons bundled in the app</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Consistent look on every screen; no fonts or images fetched from the internet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 (17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104</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19,965</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1,856</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137</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25,826</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72</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8,184</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ai (planes A, B, C and the Insight contract), app (AppServices and wiring), audit, capture (OCR and image handling), consent, crypto, emergency, export, family, identity, model, reminders, security, share, storage, ui, vaccines and vault.</w:t>
      </w:r>
    </w:p>
    <w:p>
      <w:pPr>
        <w:pStyle w:val="Heading2"/>
      </w:pPr>
      <w:r>
        <w:t xml:space="preserve">5.3 Patient app</w:t>
      </w:r>
    </w:p>
    <w:p>
      <w:pPr>
        <w:spacing w:after="160" w:line="360"/>
        <w:jc w:val="both"/>
      </w:pPr>
      <w:r>
        <w:t xml:space="preserve">The app has five tabs (Reminders, Records, Insights, Share and Me) on a floating bar at the bottom, and a person button at the top right for switching between the people on the phone (Figures 5.1 and 5.2). The screenshots in this chapter show the synthetic sample family that demonstration builds can load.</w:t>
      </w:r>
    </w:p>
    <w:p>
      <w:pPr>
        <w:keepNext/>
        <w:spacing w:before="120"/>
        <w:jc w:val="center"/>
      </w:pP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opens with a dark card showing today’s progress. Below it, today’s medicines from active prescriptions are grouped by morning, afternoon and night, with the current slot marked “Now”. A medicine is ticked by swiping it sideways. The patient’s own reminders (a check-up, a refill, a home reading) follow.</w:t>
      </w:r>
    </w:p>
    <w:p>
      <w:pPr>
        <w:pStyle w:val="ListParagraph"/>
        <w:numPr>
          <w:ilvl w:val="0"/>
          <w:numId w:val="2"/>
        </w:numPr>
        <w:spacing w:after="80" w:line="340"/>
        <w:jc w:val="both"/>
      </w:pPr>
      <w:r>
        <w:rPr>
          <w:b/>
          <w:bCs/>
        </w:rPr>
        <w:t xml:space="preserve">Records</w:t>
      </w:r>
      <w:r>
        <w:t xml:space="preserve"> has a search box, filters for prescriptions, reports and scans, and a “results over time” card that plots one test across reports. Smaller cards show the latest value of every other test with a sparkline. Tapping a test opens every result with its laboratory, sample date and the lab’s printed range. A floating button adds a record.</w:t>
      </w:r>
    </w:p>
    <w:p>
      <w:pPr>
        <w:pStyle w:val="ListParagraph"/>
        <w:numPr>
          <w:ilvl w:val="0"/>
          <w:numId w:val="2"/>
        </w:numPr>
        <w:spacing w:after="80" w:line="340"/>
        <w:jc w:val="both"/>
      </w:pPr>
      <w:r>
        <w:rPr>
          <w:b/>
          <w:bCs/>
        </w:rPr>
        <w:t xml:space="preserve">Insights</w:t>
      </w:r>
      <w:r>
        <w:t xml:space="preserve"> first explains what the on-device insights do and asks the patient to turn them on for 24 hours. Once on, it counts the findings to discuss with a doctor and the values that could not be checked, then lists each finding with its severity and the lab’s printed range. Every read the insights make appears in the access log.</w:t>
      </w:r>
    </w:p>
    <w:p>
      <w:pPr>
        <w:keepNext/>
        <w:spacing w:before="120"/>
        <w:jc w:val="center"/>
      </w:pPr>
      <w:r>
        <w:drawing>
          <wp:inline distT="0" distB="0" distL="0" distR="0">
            <wp:extent cx="1428750" cy="3095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5.2: Patient app: Share, scanning a doctor’s code, and Me</w:t>
      </w:r>
    </w:p>
    <w:p>
      <w:pPr>
        <w:pStyle w:val="ListParagraph"/>
        <w:numPr>
          <w:ilvl w:val="0"/>
          <w:numId w:val="2"/>
        </w:numPr>
        <w:spacing w:after="80" w:line="340"/>
        <w:jc w:val="both"/>
      </w:pPr>
      <w:r>
        <w:rPr>
          <w:b/>
          <w:bCs/>
        </w:rPr>
        <w:t xml:space="preserve">Share</w:t>
      </w:r>
      <w:r>
        <w:t xml:space="preserve"> offers “Show on my phone” (nothing is sent, and leaving the summary needs the phone’s lock), sharing with a doctor by scanning the code on the doctor’s screen,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starts with the person’s own card and LifeTrack ID, then holds the Emergency ID, ABHA (optional, “not verified”), reminders, backup, the access log, data rights (export and erasure), app lock and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[18] in the Android activity. A parser recognises test names, values, units and printed ranges. Any field read with confidence below 0.85, and every handwritten field, must be ticked or corrected before the patient confirms that the draft matches the report. The original image is kept, encrypted, with the record. Figure 5.3 shows the three steps: choosing how to add a record, adding the pages, and the saved record with its original and the values as reported.</w:t>
      </w:r>
    </w:p>
    <w:p>
      <w:pPr>
        <w:keepNext/>
        <w:spacing w:before="120"/>
        <w:jc w:val="center"/>
      </w:pPr>
      <w:r>
        <w:drawing>
          <wp:inline distT="0" distB="0" distL="0" distR="0">
            <wp:extent cx="1428750" cy="3095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5.3: Adding a report: choose, add pages, and the saved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The family overview opens with a drawn family tree, one row per generation, with couples joined and the head marked (Figure 5.4). Adding a person starts with a choice: a child under 18, an adult who wants the head to manage their records, or an adult with their own phone, who is sent an invite instead. A child under 18 can be added only as the head’s son or daughter, with consent declared by the parent; sharing for that child stops at 18. An adult may delegate to a custodian in person, and can end it. Adults with their own phones can be linked. Each may share their Emergency ID and/or current medicine list with the other (both are off by default),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On screen it is a dark card; tapping the card turns it over to its QR code (Figure 5.5). The QR code is plain text so any camera can read it without the internet.</w:t>
      </w:r>
    </w:p>
    <w:p>
      <w:pPr>
        <w:keepNext/>
        <w:spacing w:before="120"/>
        <w:jc w:val="center"/>
      </w:pPr>
      <w:r>
        <w:drawing>
          <wp:inline distT="0" distB="0" distL="0" distR="0">
            <wp:extent cx="1428750" cy="30956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5.4: Family overview with the family tree, and adding a person</w:t>
      </w:r>
    </w:p>
    <w:p>
      <w:pPr>
        <w:keepNext/>
        <w:spacing w:before="120"/>
        <w:jc w:val="center"/>
      </w:pPr>
      <w:r>
        <w:drawing>
          <wp:inline distT="0" distB="0" distL="0" distR="0">
            <wp:extent cx="1428750" cy="30956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5.5: Emergency ID card and its plain-text QR code</w:t>
      </w:r>
    </w:p>
    <w:p>
      <w:pPr>
        <w:pStyle w:val="Heading2"/>
      </w:pPr>
      <w:r>
        <w:t xml:space="preserve">5.4 User-interface design</w:t>
      </w:r>
    </w:p>
    <w:p>
      <w:pPr>
        <w:spacing w:after="160" w:line="360"/>
        <w:jc w:val="both"/>
      </w:pPr>
      <w:r>
        <w:t xml:space="preserve">The interface was built in three rounds during weeks 6 and 7. Two screen-by-screen reviews of the patient app looked at layout, wording, touch targets and contrast, with older users and caregivers in mind, and each was followed by a series of small releases (patient 1.19.1 to 1.37.3). The app was then restyled (1.38.0 to 1.40.1) and, in week 7, tested for fit on small screens and made faster to draw.</w:t>
      </w:r>
    </w:p>
    <w:p>
      <w:pPr>
        <w:pStyle w:val="Heading3"/>
      </w:pPr>
      <w:r>
        <w:t xml:space="preserve">Visual language</w:t>
      </w:r>
    </w:p>
    <w:p>
      <w:pPr>
        <w:spacing w:after="160" w:line="360"/>
        <w:jc w:val="both"/>
      </w:pPr>
      <w:r>
        <w:t xml:space="preserve">Pages are near-white with white cards. The one thing that matters most on a screen, such as today’s progress, the Emergency ID or the person’s own card, sits on a near-black card. Text is set in Sora, which is bundled with the app, as are the icons, so nothing is fetched from the internet. The welcome and lock screens open on a full-width photograph of a family (Figure 5.6). The photographs, and the sample family’s faces cropped from them, were generated with an AI image tool (Canva) for the project and are bundled with the app. Text is never placed over a photograph, because the contrast test cannot measure text on an image.</w:t>
      </w:r>
    </w:p>
    <w:p>
      <w:pPr>
        <w:spacing w:after="160" w:line="360"/>
        <w:jc w:val="both"/>
      </w:pPr>
      <w:r>
        <w:t xml:space="preserve">Colour carries a fixed meaning. The caramel accent (#A65E30) means only “selected” or “now”: the active tab, the chosen filter, the current medicine slot. Health status never uses it. Out-of-range values use purple and trends use teal, and the status badges also carry a warning icon, so colour is never the only signal. The first version of the restyle used an orange for out-of-range values; measured with a simulation of colour-vision deficiency [22], it was only 12 to 16 ΔE from the caramel accent for red- and green-blind viewers, so a selected chip could be mistaken for a warning. Purple and teal replaced it, and a test now keeps every pair of these colours at least 25 ΔE apart for normal, protan, deutan and tritan vision, in light and dark mode.</w:t>
      </w:r>
    </w:p>
    <w:p>
      <w:pPr>
        <w:keepNext/>
        <w:spacing w:before="120"/>
        <w:jc w:val="center"/>
      </w:pPr>
      <w:r>
        <w:drawing>
          <wp:inline distT="0" distB="0" distL="0" distR="0">
            <wp:extent cx="1428750" cy="30956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5.6: Welcome screen, lock screen and the first step of creating a profile</w:t>
      </w:r>
    </w:p>
    <w:p>
      <w:pPr>
        <w:pStyle w:val="Heading3"/>
      </w:pPr>
      <w:r>
        <w:t xml:space="preserve">Interaction</w:t>
      </w:r>
    </w:p>
    <w:p>
      <w:pPr>
        <w:spacing w:after="160" w:line="360"/>
        <w:jc w:val="both"/>
      </w:pPr>
      <w:r>
        <w:t xml:space="preserve">Every tab is labelled, and the selected one sits in a caramel pill that slides along the bar. The top and bottom bars are frosted glass, so the list can be seen scrolling beneath them. A medicine is ticked by swiping it sideways, Share refreshes when pulled down, and saving a record, a reading or a vaccination ends with a short tick animation. Buttons and cards respond to touch with a soft glow and a light vibration. Dangerous actions, such as erasing data or leaving the summary shown on the phone, ask for the phone’s own lock first.</w:t>
      </w:r>
    </w:p>
    <w:p>
      <w:pPr>
        <w:pStyle w:val="Heading3"/>
      </w:pPr>
      <w:r>
        <w:t xml:space="preserve">Dark mode</w:t>
      </w:r>
    </w:p>
    <w:p>
      <w:pPr>
        <w:spacing w:after="160" w:line="360"/>
        <w:jc w:val="both"/>
      </w:pPr>
      <w:r>
        <w:t xml:space="preserve">Every colour in the app is defined for light and dark mode, and the patient picks one or follows the phone under Me → Appearance (Figure 5.7). The contrast test walks every visible text on the main screens in both modes and checks it against WCAG AA. QR codes stay black on white in both modes so that any camera can read them.</w:t>
      </w:r>
    </w:p>
    <w:p>
      <w:pPr>
        <w:keepNext/>
        <w:spacing w:before="120"/>
        <w:jc w:val="center"/>
      </w:pPr>
      <w:r>
        <w:drawing>
          <wp:inline distT="0" distB="0" distL="0" distR="0">
            <wp:extent cx="1428750" cy="3095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5.7: Dark mode: Reminders and Records</w:t>
      </w:r>
    </w:p>
    <w:p>
      <w:pPr>
        <w:pStyle w:val="Heading3"/>
      </w:pPr>
      <w:r>
        <w:t xml:space="preserve">Fit and speed</w:t>
      </w:r>
    </w:p>
    <w:p>
      <w:pPr>
        <w:spacing w:after="160" w:line="360"/>
        <w:jc w:val="both"/>
      </w:pPr>
      <w:r>
        <w:t xml:space="preserve">Layouts break when a phone is set to a large text size or display size, and those are the settings older users are most likely to change. A layout test therefore lays out every main tab and 18 other screens at widths of 320, 360 and 411 logical pixels, each with text at 1×, 1.3× and 2×, and fails on any text that runs out of its box or any tab name that leaves its pill. It found overflows in tab names, vaccine dates, prescription rows, the Emergency ID’s blood type, dose pills, month headers and test results, which versions 1.42.1 and 1.42.2 fixed. Secondary text is at least 14 sp and no text is smaller than 12 sp.</w:t>
      </w:r>
    </w:p>
    <w:p>
      <w:pPr>
        <w:spacing w:after="160" w:line="360"/>
        <w:jc w:val="both"/>
      </w:pPr>
      <w:r>
        <w:t xml:space="preserve">Version 1.42.2 reduced the work the phone does for every frame without changing the look, which I confirmed by comparing screens pixel by pixel. The glass bars share one background blur, cards and buttons draw their shadows, borders and touch ripple as rounded rectangles (the renderer’s fast path), list items fade in only when a page opens, a tab switch draws only the incoming tab, and photographs are decoded at the size they are shown. A frame-timing test (</w:t>
      </w:r>
      <w:r>
        <w:rPr>
          <w:rFonts w:ascii="Courier New" w:cs="Courier New" w:eastAsia="Courier New" w:hAnsi="Courier New"/>
          <w:sz w:val="21"/>
          <w:szCs w:val="21"/>
        </w:rPr>
        <w:t xml:space="preserve">integration_test/scroll_perf_test.dart</w:t>
      </w:r>
      <w:r>
        <w:t xml:space="preserve">) scrolls the main tabs on a real phone in a profile build to measure the result.</w:t>
      </w:r>
    </w:p>
    <w:p>
      <w:pPr>
        <w:pStyle w:val="Heading2"/>
      </w:pPr>
      <w:r>
        <w:t xml:space="preserve">5.5 Doctor app: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5.8).</w:t>
      </w:r>
    </w:p>
    <w:p>
      <w:pPr>
        <w:keepNext/>
        <w:spacing w:before="120"/>
        <w:jc w:val="center"/>
      </w:pPr>
      <w:r>
        <w:drawing>
          <wp:inline distT="0" distB="0" distL="0" distR="0">
            <wp:extent cx="5334000" cy="3371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71850"/>
                    </a:xfrm>
                    <a:prstGeom prst="rect">
                      <a:avLst/>
                    </a:prstGeom>
                  </pic:spPr>
                </pic:pic>
              </a:graphicData>
            </a:graphic>
          </wp:inline>
        </w:drawing>
      </w:r>
    </w:p>
    <w:p>
      <w:pPr>
        <w:spacing w:after="240" w:before="80"/>
        <w:jc w:val="center"/>
      </w:pPr>
      <w:r>
        <w:rPr>
          <w:i/>
          <w:iCs/>
          <w:sz w:val="20"/>
          <w:szCs w:val="20"/>
        </w:rPr>
        <w:t xml:space="preserve">Figure 5.8: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with the medicine, active ingredient, morning-afternoon-night dose, timing relative to food, duration and a note, then signs and sends it (Figure 5.9).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71850"/>
                    </a:xfrm>
                    <a:prstGeom prst="rect">
                      <a:avLst/>
                    </a:prstGeom>
                  </pic:spPr>
                </pic:pic>
              </a:graphicData>
            </a:graphic>
          </wp:inline>
        </w:drawing>
      </w:r>
    </w:p>
    <w:p>
      <w:pPr>
        <w:spacing w:after="240" w:before="80"/>
        <w:jc w:val="center"/>
      </w:pPr>
      <w:r>
        <w:rPr>
          <w:i/>
          <w:iCs/>
          <w:sz w:val="20"/>
          <w:szCs w:val="20"/>
        </w:rPr>
        <w:t xml:space="preserve">Figure 5.9: LifeTrack Clinic: a shared summary and a prescription being written</w:t>
      </w:r>
    </w:p>
    <w:p>
      <w:pPr>
        <w:spacing w:after="160" w:line="360"/>
        <w:jc w:val="both"/>
      </w:pPr>
      <w:r>
        <w:t xml:space="preserve">The app has three tabs: Patients, Prescriptions and Profile. The Profile tab (Figure 5.10)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371850"/>
                    </a:xfrm>
                    <a:prstGeom prst="rect">
                      <a:avLst/>
                    </a:prstGeom>
                  </pic:spPr>
                </pic:pic>
              </a:graphicData>
            </a:graphic>
          </wp:inline>
        </w:drawing>
      </w:r>
    </w:p>
    <w:p>
      <w:pPr>
        <w:spacing w:after="240" w:before="80"/>
        <w:jc w:val="center"/>
      </w:pPr>
      <w:r>
        <w:rPr>
          <w:i/>
          <w:iCs/>
          <w:sz w:val="20"/>
          <w:szCs w:val="20"/>
        </w:rPr>
        <w:t xml:space="preserve">Figure 5.10: LifeTrack Clinic: the Profile tab</w:t>
      </w:r>
    </w:p>
    <w:p>
      <w:pPr>
        <w:pStyle w:val="Heading2"/>
      </w:pPr>
      <w:r>
        <w:t xml:space="preserve">5.6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and the phone reaches it over USB with </w:t>
      </w:r>
      <w:r>
        <w:rPr>
          <w:rFonts w:ascii="Courier New" w:cs="Courier New" w:eastAsia="Courier New" w:hAnsi="Courier New"/>
          <w:sz w:val="21"/>
          <w:szCs w:val="21"/>
        </w:rPr>
        <w:t xml:space="preserve">adb reverse tcp:8787 tcp:8787</w:t>
      </w:r>
      <w:r>
        <w:t xml:space="preserve">. Since week 6 it can also listen on the laptop’s Wi-Fi address (</w:t>
      </w:r>
      <w:r>
        <w:rPr>
          <w:rFonts w:ascii="Courier New" w:cs="Courier New" w:eastAsia="Courier New" w:hAnsi="Courier New"/>
          <w:sz w:val="21"/>
          <w:szCs w:val="21"/>
        </w:rPr>
        <w:t xml:space="preserve">scripts/run_server_lan.sh</w:t>
      </w:r>
      <w:r>
        <w:t xml:space="preserve">), so the phone works without a cable. The release build then has that address built in and allows plain HTTP to that one address only; records and backups cross the connection only as ciphertext. Data is kept in an owner-only folder: the registry signing key, the admin token, doctor enrolments, the ID map and the backup files.</w:t>
      </w:r>
    </w:p>
    <w:p>
      <w:pPr>
        <w:pStyle w:val="Heading2"/>
      </w:pPr>
      <w:r>
        <w:t xml:space="preserve">5.7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(a feature raises the middle number, a fix the last) and adds a line to the changelog in the same commit. At the time of writing the patient app is at 1.42.2 and the doctor app at 1.8.0 (Appendix A).</w:t>
      </w:r>
    </w:p>
    <w:p>
      <w:pPr>
        <w:pStyle w:val="ListParagraph"/>
        <w:numPr>
          <w:ilvl w:val="0"/>
          <w:numId w:val="2"/>
        </w:numPr>
        <w:spacing w:after="80" w:line="340"/>
        <w:jc w:val="both"/>
      </w:pPr>
      <w:r>
        <w:rPr>
          <w:b/>
          <w:bCs/>
        </w:rPr>
        <w:t xml:space="preserve">Interface reviews.</w:t>
      </w:r>
      <w:r>
        <w:t xml:space="preserve"> Two screen-by-screen reviews of the patient app, each followed by small releases that fixed what it found, then a restyle (Section 5.4).</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A script builds an obfuscated APK; the symbol map is kept on the development machine.</w:t>
      </w:r>
    </w:p>
    <w:p>
      <w:pPr>
        <w:pStyle w:val="Heading2"/>
      </w:pPr>
      <w:r>
        <w:t xml:space="preserve">5.8 Selected implementation details</w:t>
      </w:r>
    </w:p>
    <w:p>
      <w:pPr>
        <w:spacing w:after="160" w:line="360"/>
        <w:jc w:val="both"/>
      </w:pPr>
      <w:r>
        <w:t xml:space="preserve">This section shows four short excerpts from the patient app’s source code. They are the places where the main rules of Chapter 4 are enforced. Listings are shortened only where marked with “...”.</w:t>
      </w:r>
    </w:p>
    <w:p>
      <w:pPr>
        <w:pStyle w:val="Heading3"/>
      </w:pPr>
      <w:r>
        <w:t xml:space="preserve">Consent check</w:t>
      </w:r>
    </w:p>
    <w:p>
      <w:pPr>
        <w:spacing w:after="160" w:line="360"/>
        <w:jc w:val="both"/>
      </w:pPr>
      <w:r>
        <w:t xml:space="preserve">Every read by anyone other than the patient ends in ConsentStore.authorize (Listing 5.1). The caller passes only the grant id; the method looks up the stored grant and checks every field, in a fixed order, against the request. Each failure throws a typed denial, which RecordAccess writes to the audit log as a refusal. A one-time grant, such as the one Plane C would use, is marked spent on its first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ConsentToken authorize({required String tokenId, required String actorId,</w:t>
            </w:r>
            <w:r>
              <w:rPr>
                <w:rFonts w:ascii="Courier New" w:cs="Courier New" w:eastAsia="Courier New" w:hAnsi="Courier New"/>
                <w:sz w:val="16"/>
                <w:szCs w:val="16"/>
              </w:rPr>
              <w:br/>
              <w:t xml:space="preserve"> required String patientId, required DataClass dataClass,</w:t>
            </w:r>
            <w:r>
              <w:rPr>
                <w:rFonts w:ascii="Courier New" w:cs="Courier New" w:eastAsia="Courier New" w:hAnsi="Courier New"/>
                <w:sz w:val="16"/>
                <w:szCs w:val="16"/>
              </w:rPr>
              <w:br/>
              <w:t xml:space="preserve"> required GrantPurpose purpose, required DateTime at}) {</w:t>
            </w:r>
            <w:r>
              <w:rPr>
                <w:rFonts w:ascii="Courier New" w:cs="Courier New" w:eastAsia="Courier New" w:hAnsi="Courier New"/>
                <w:sz w:val="16"/>
                <w:szCs w:val="16"/>
              </w:rPr>
              <w:br/>
              <w:t xml:space="preserve">  final t = _issued[tokenId];</w:t>
            </w:r>
            <w:r>
              <w:rPr>
                <w:rFonts w:ascii="Courier New" w:cs="Courier New" w:eastAsia="Courier New" w:hAnsi="Courier New"/>
                <w:sz w:val="16"/>
                <w:szCs w:val="16"/>
              </w:rPr>
              <w:br/>
              <w:t xml:space="preserve">  if (t == null) throw ConsentDenied(DenialReason.unknown, tokenId);</w:t>
            </w:r>
            <w:r>
              <w:rPr>
                <w:rFonts w:ascii="Courier New" w:cs="Courier New" w:eastAsia="Courier New" w:hAnsi="Courier New"/>
                <w:sz w:val="16"/>
                <w:szCs w:val="16"/>
              </w:rPr>
              <w:br/>
              <w:t xml:space="preserve">  if (_revoked.contains(tokenId)) throw ConsentDenied(DenialReason.revoked, tokenId);</w:t>
            </w:r>
            <w:r>
              <w:rPr>
                <w:rFonts w:ascii="Courier New" w:cs="Courier New" w:eastAsia="Courier New" w:hAnsi="Courier New"/>
                <w:sz w:val="16"/>
                <w:szCs w:val="16"/>
              </w:rPr>
              <w:br/>
              <w:t xml:space="preserve">  if (_spent.contains(tokenId)) throw ConsentDenied(DenialReason.spent, tokenId);</w:t>
            </w:r>
            <w:r>
              <w:rPr>
                <w:rFonts w:ascii="Courier New" w:cs="Courier New" w:eastAsia="Courier New" w:hAnsi="Courier New"/>
                <w:sz w:val="16"/>
                <w:szCs w:val="16"/>
              </w:rPr>
              <w:br/>
              <w:t xml:space="preserve">  if (at.isBefore(t.issuedAt)) throw ConsentDenied(DenialReason.notYetValid, tokenId);</w:t>
            </w:r>
            <w:r>
              <w:rPr>
                <w:rFonts w:ascii="Courier New" w:cs="Courier New" w:eastAsia="Courier New" w:hAnsi="Courier New"/>
                <w:sz w:val="16"/>
                <w:szCs w:val="16"/>
              </w:rPr>
              <w:br/>
              <w:t xml:space="preserve">  if (!at.isBefore(t.expiresAt)) throw ConsentDenied(DenialReason.expired, tokenId);</w:t>
            </w:r>
            <w:r>
              <w:rPr>
                <w:rFonts w:ascii="Courier New" w:cs="Courier New" w:eastAsia="Courier New" w:hAnsi="Courier New"/>
                <w:sz w:val="16"/>
                <w:szCs w:val="16"/>
              </w:rPr>
              <w:br/>
              <w:t xml:space="preserve">  if (t.patientId != patientId) throw ConsentDenied(DenialReason.wrongPatient, tokenId);</w:t>
            </w:r>
            <w:r>
              <w:rPr>
                <w:rFonts w:ascii="Courier New" w:cs="Courier New" w:eastAsia="Courier New" w:hAnsi="Courier New"/>
                <w:sz w:val="16"/>
                <w:szCs w:val="16"/>
              </w:rPr>
              <w:br/>
              <w:t xml:space="preserve">  if (t.grantedToActorId != actorId) throw ConsentDenied(DenialReason.wrongActor, tokenId);</w:t>
            </w:r>
            <w:r>
              <w:rPr>
                <w:rFonts w:ascii="Courier New" w:cs="Courier New" w:eastAsia="Courier New" w:hAnsi="Courier New"/>
                <w:sz w:val="16"/>
                <w:szCs w:val="16"/>
              </w:rPr>
              <w:br/>
              <w:t xml:space="preserve">  if (t.purpose != purpose) throw ConsentDenied(DenialReason.wrongPurpose, tokenId);</w:t>
            </w:r>
            <w:r>
              <w:rPr>
                <w:rFonts w:ascii="Courier New" w:cs="Courier New" w:eastAsia="Courier New" w:hAnsi="Courier New"/>
                <w:sz w:val="16"/>
                <w:szCs w:val="16"/>
              </w:rPr>
              <w:br/>
              <w:t xml:space="preserve">  if (!t.covers(dataClass)) throw ConsentDenied(DenialReason.outOfScope, tokenId);</w:t>
            </w:r>
            <w:r>
              <w:rPr>
                <w:rFonts w:ascii="Courier New" w:cs="Courier New" w:eastAsia="Courier New" w:hAnsi="Courier New"/>
                <w:sz w:val="16"/>
                <w:szCs w:val="16"/>
              </w:rPr>
              <w:br/>
              <w:t xml:space="preserve">  if (t.type == GrantType.oneTime) _spent.add(tokenId);</w:t>
            </w:r>
            <w:r>
              <w:rPr>
                <w:rFonts w:ascii="Courier New" w:cs="Courier New" w:eastAsia="Courier New" w:hAnsi="Courier New"/>
                <w:sz w:val="16"/>
                <w:szCs w:val="16"/>
              </w:rPr>
              <w:br/>
              <w:t xml:space="preserve">  return t;</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5.1: ConsentStore.authorize (lib/src/consent/consent_store.dart)</w:t>
      </w:r>
    </w:p>
    <w:p>
      <w:pPr>
        <w:pStyle w:val="Heading3"/>
      </w:pPr>
      <w:r>
        <w:t xml:space="preserve">Sealed storage</w:t>
      </w:r>
    </w:p>
    <w:p>
      <w:pPr>
        <w:spacing w:after="160" w:line="360"/>
        <w:jc w:val="both"/>
      </w:pPr>
      <w:r>
        <w:t xml:space="preserve">All records, grants and audit entries pass through SealedStore (Listing 5.2). Each blob is encrypted under the device key and bound to its own name, so a blob copied to another name fails to open. A blob in the older version-1 frame is upgraded to version 2 the first time it is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Future&lt;Object?&gt; read(String name) async {</w:t>
            </w:r>
            <w:r>
              <w:rPr>
                <w:rFonts w:ascii="Courier New" w:cs="Courier New" w:eastAsia="Courier New" w:hAnsi="Courier New"/>
                <w:sz w:val="16"/>
                <w:szCs w:val="16"/>
              </w:rPr>
              <w:br/>
              <w:t xml:space="preserve">  final frame = await bytes.read(name);</w:t>
            </w:r>
            <w:r>
              <w:rPr>
                <w:rFonts w:ascii="Courier New" w:cs="Courier New" w:eastAsia="Courier New" w:hAnsi="Courier New"/>
                <w:sz w:val="16"/>
                <w:szCs w:val="16"/>
              </w:rPr>
              <w:br/>
              <w:t xml:space="preserve">  if (frame == null) return null;</w:t>
            </w:r>
            <w:r>
              <w:rPr>
                <w:rFonts w:ascii="Courier New" w:cs="Courier New" w:eastAsia="Courier New" w:hAnsi="Courier New"/>
                <w:sz w:val="16"/>
                <w:szCs w:val="16"/>
              </w:rPr>
              <w:br/>
              <w:t xml:space="preserve">  final body = await VaultCodec.open(frame, key, name: name);</w:t>
            </w:r>
            <w:r>
              <w:rPr>
                <w:rFonts w:ascii="Courier New" w:cs="Courier New" w:eastAsia="Courier New" w:hAnsi="Courier New"/>
                <w:sz w:val="16"/>
                <w:szCs w:val="16"/>
              </w:rPr>
              <w:br/>
              <w:t xml:space="preserve">  if (VaultCodec.versionOf(frame) == 1) await write(name, body);</w:t>
            </w:r>
            <w:r>
              <w:rPr>
                <w:rFonts w:ascii="Courier New" w:cs="Courier New" w:eastAsia="Courier New" w:hAnsi="Courier New"/>
                <w:sz w:val="16"/>
                <w:szCs w:val="16"/>
              </w:rPr>
              <w:br/>
              <w:t xml:space="preserve">  return body;</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Future&lt;void&gt; write(String name, Object? body) async =&gt;</w:t>
            </w:r>
            <w:r>
              <w:rPr>
                <w:rFonts w:ascii="Courier New" w:cs="Courier New" w:eastAsia="Courier New" w:hAnsi="Courier New"/>
                <w:sz w:val="16"/>
                <w:szCs w:val="16"/>
              </w:rPr>
              <w:br/>
              <w:t xml:space="preserve">    bytes.write(name, await VaultCodec.seal(body, key, name: name));</w:t>
            </w:r>
          </w:p>
        </w:tc>
      </w:tr>
    </w:tbl>
    <w:p>
      <w:pPr>
        <w:spacing w:after="240" w:before="60"/>
        <w:jc w:val="center"/>
      </w:pPr>
      <w:r>
        <w:rPr>
          <w:i/>
          <w:iCs/>
          <w:sz w:val="20"/>
          <w:szCs w:val="20"/>
        </w:rPr>
        <w:t xml:space="preserve">Listing 5.2: SealedStore read and write (lib/src/storage/sealed_store.dart)</w:t>
      </w:r>
    </w:p>
    <w:p>
      <w:pPr>
        <w:pStyle w:val="Heading3"/>
      </w:pPr>
      <w:r>
        <w:t xml:space="preserve">Audit before egress</w:t>
      </w:r>
    </w:p>
    <w:p>
      <w:pPr>
        <w:spacing w:after="160" w:line="360"/>
        <w:jc w:val="both"/>
      </w:pPr>
      <w:r>
        <w:t xml:space="preserve">Listing 5.3 is the end of the clinical-share flow. The bundle is sealed to the doctor’s key first, then the audit entry is written, and only then is the envelope handed to the relay. If the network call fails, the attempt is still on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final envelope = await ShareEnvelope.seal(bundle: bundle,</w:t>
            </w:r>
            <w:r>
              <w:rPr>
                <w:rFonts w:ascii="Courier New" w:cs="Courier New" w:eastAsia="Courier New" w:hAnsi="Courier New"/>
                <w:sz w:val="16"/>
                <w:szCs w:val="16"/>
              </w:rPr>
              <w:br/>
              <w:t xml:space="preserve">    recipientKey: doctor.encryptionKey, keyId: keyId,</w:t>
            </w:r>
            <w:r>
              <w:rPr>
                <w:rFonts w:ascii="Courier New" w:cs="Courier New" w:eastAsia="Courier New" w:hAnsi="Courier New"/>
                <w:sz w:val="16"/>
                <w:szCs w:val="16"/>
              </w:rPr>
              <w:br/>
              <w:t xml:space="preserve">    grantId: grant.id, expiresAt: grant.expiresAt);</w:t>
            </w:r>
            <w:r>
              <w:rPr>
                <w:rFonts w:ascii="Courier New" w:cs="Courier New" w:eastAsia="Courier New" w:hAnsi="Courier New"/>
                <w:sz w:val="16"/>
                <w:szCs w:val="16"/>
              </w:rPr>
              <w:br/>
              <w:t xml:space="preserve">// Audited before it leaves: a failed send is still recorded.</w:t>
            </w:r>
            <w:r>
              <w:rPr>
                <w:rFonts w:ascii="Courier New" w:cs="Courier New" w:eastAsia="Courier New" w:hAnsi="Courier New"/>
                <w:sz w:val="16"/>
                <w:szCs w:val="16"/>
              </w:rPr>
              <w:br/>
              <w:t xml:space="preserve">await audit.append(AuditEntry(at: at, actorId: grant.grantorId,</w:t>
            </w:r>
            <w:r>
              <w:rPr>
                <w:rFonts w:ascii="Courier New" w:cs="Courier New" w:eastAsia="Courier New" w:hAnsi="Courier New"/>
                <w:sz w:val="16"/>
                <w:szCs w:val="16"/>
              </w:rPr>
              <w:br/>
              <w:t xml:space="preserve">    patientId: patientId, action: AuditAction.clinicalShare, tokenId: grant.id,</w:t>
            </w:r>
            <w:r>
              <w:rPr>
                <w:rFonts w:ascii="Courier New" w:cs="Courier New" w:eastAsia="Courier New" w:hAnsi="Courier New"/>
                <w:sz w:val="16"/>
                <w:szCs w:val="16"/>
              </w:rPr>
              <w:br/>
              <w:t xml:space="preserve">    detail: 'Sent to ${doctor.name} (${doctor.registrationNo}), encrypted to their device'));</w:t>
            </w:r>
            <w:r>
              <w:rPr>
                <w:rFonts w:ascii="Courier New" w:cs="Courier New" w:eastAsia="Courier New" w:hAnsi="Courier New"/>
                <w:sz w:val="16"/>
                <w:szCs w:val="16"/>
              </w:rPr>
              <w:br/>
              <w:t xml:space="preserve">await relay.deposit(mailbox: mailbox, grantId: grant.id,</w:t>
            </w:r>
            <w:r>
              <w:rPr>
                <w:rFonts w:ascii="Courier New" w:cs="Courier New" w:eastAsia="Courier New" w:hAnsi="Courier New"/>
                <w:sz w:val="16"/>
                <w:szCs w:val="16"/>
              </w:rPr>
              <w:br/>
              <w:t xml:space="preserve">    envelope: envelope, expiresAt: grant.expiresAt);</w:t>
            </w:r>
          </w:p>
        </w:tc>
      </w:tr>
    </w:tbl>
    <w:p>
      <w:pPr>
        <w:spacing w:after="240" w:before="60"/>
        <w:jc w:val="center"/>
      </w:pPr>
      <w:r>
        <w:rPr>
          <w:i/>
          <w:iCs/>
          <w:sz w:val="20"/>
          <w:szCs w:val="20"/>
        </w:rPr>
        <w:t xml:space="preserve">Listing 5.3: Writing the audit entry before the share is sent (lib/src/share/clinical_share_service.dart)</w:t>
      </w:r>
    </w:p>
    <w:p>
      <w:pPr>
        <w:pStyle w:val="Heading3"/>
      </w:pPr>
      <w:r>
        <w:t xml:space="preserve">Banned-phrase filter</w:t>
      </w:r>
    </w:p>
    <w:p>
      <w:pPr>
        <w:spacing w:after="160" w:line="360"/>
        <w:jc w:val="both"/>
      </w:pPr>
      <w:r>
        <w:t xml:space="preserve">Every Plane A output is checked against a list of banned phrases covering diagnoses, forecasts and treatment advice (Listing 5.4). An insight that contains one is dropped, not reworded, so the filter can only remove output and never invent new wording.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const bannedPhrases = &lt;String&gt;[</w:t>
            </w:r>
            <w:r>
              <w:rPr>
                <w:rFonts w:ascii="Courier New" w:cs="Courier New" w:eastAsia="Courier New" w:hAnsi="Courier New"/>
                <w:sz w:val="16"/>
                <w:szCs w:val="16"/>
              </w:rPr>
              <w:br/>
              <w:t xml:space="preserve">  // assertions</w:t>
            </w:r>
            <w:r>
              <w:rPr>
                <w:rFonts w:ascii="Courier New" w:cs="Courier New" w:eastAsia="Courier New" w:hAnsi="Courier New"/>
                <w:sz w:val="16"/>
                <w:szCs w:val="16"/>
              </w:rPr>
              <w:br/>
              <w:t xml:space="preserve">  'diagnos', 'you have', 'you are', 'disease', 'is normal', 'healthy', ...</w:t>
            </w:r>
            <w:r>
              <w:rPr>
                <w:rFonts w:ascii="Courier New" w:cs="Courier New" w:eastAsia="Courier New" w:hAnsi="Courier New"/>
                <w:sz w:val="16"/>
                <w:szCs w:val="16"/>
              </w:rPr>
              <w:br/>
              <w:t xml:space="preserve">  // forecasts and hedges</w:t>
            </w:r>
            <w:r>
              <w:rPr>
                <w:rFonts w:ascii="Courier New" w:cs="Courier New" w:eastAsia="Courier New" w:hAnsi="Courier New"/>
                <w:sz w:val="16"/>
                <w:szCs w:val="16"/>
              </w:rPr>
              <w:br/>
              <w:t xml:space="preserve">  'risk of', 'likely', 'may indicate', 'suggests', 'progression to', 'predict', ...</w:t>
            </w:r>
            <w:r>
              <w:rPr>
                <w:rFonts w:ascii="Courier New" w:cs="Courier New" w:eastAsia="Courier New" w:hAnsi="Courier New"/>
                <w:sz w:val="16"/>
                <w:szCs w:val="16"/>
              </w:rPr>
              <w:br/>
              <w:t xml:space="preserve">  // treatment advice</w:t>
            </w:r>
            <w:r>
              <w:rPr>
                <w:rFonts w:ascii="Courier New" w:cs="Courier New" w:eastAsia="Courier New" w:hAnsi="Courier New"/>
                <w:sz w:val="16"/>
                <w:szCs w:val="16"/>
              </w:rPr>
              <w:br/>
              <w:t xml:space="preserve">  'stop taking', 'increase your dose', 'reduce your dose', 'skip',</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String? firstBannedPhrase(String text) {</w:t>
            </w:r>
            <w:r>
              <w:rPr>
                <w:rFonts w:ascii="Courier New" w:cs="Courier New" w:eastAsia="Courier New" w:hAnsi="Courier New"/>
                <w:sz w:val="16"/>
                <w:szCs w:val="16"/>
              </w:rPr>
              <w:br/>
              <w:t xml:space="preserve">  final t = text.toLowerCase();</w:t>
            </w:r>
            <w:r>
              <w:rPr>
                <w:rFonts w:ascii="Courier New" w:cs="Courier New" w:eastAsia="Courier New" w:hAnsi="Courier New"/>
                <w:sz w:val="16"/>
                <w:szCs w:val="16"/>
              </w:rPr>
              <w:br/>
              <w:t xml:space="preserve">  for (final p in bannedPhrases) {</w:t>
            </w:r>
            <w:r>
              <w:rPr>
                <w:rFonts w:ascii="Courier New" w:cs="Courier New" w:eastAsia="Courier New" w:hAnsi="Courier New"/>
                <w:sz w:val="16"/>
                <w:szCs w:val="16"/>
              </w:rPr>
              <w:br/>
              <w:t xml:space="preserve">    if (t.contains(p)) return p;</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return null;</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5.4: Banned-phrase list and check, shortened (lib/src/ai/plane_a/banned_phrases.dart)</w:t>
      </w:r>
    </w:p>
    <w:p>
      <w:pPr>
        <w:pStyle w:val="Heading3"/>
      </w:pPr>
      <w:r>
        <w:t xml:space="preserve">Vaccination schedule</w:t>
      </w:r>
    </w:p>
    <w:p>
      <w:pPr>
        <w:spacing w:after="160" w:line="360"/>
        <w:jc w:val="both"/>
      </w:pPr>
      <w:r>
        <w:t xml:space="preserve">The child vaccination schedule follows India’s Universal Immunisation Programme as published by the Ministry of Health and Family Welfare [7]: 26 doses from birth (BCG, OPV 0, hepatitis B) to 16 years. Each dose has an age at which it falls due, and the app computes due dates from the child’s date of birth. The screen advises following the child’s doctor where a private schedule adds vaccines.</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a claim is accepted only if a test can prove it. Seven kinds of tests were developed:</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For example, the build fails if any file other than the one network file can open a socket,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Layout tests</w:t>
      </w:r>
      <w:r>
        <w:t xml:space="preserve"> that lay out every main tab and 18 other screens at 320, 360 and 411 logical pixels wide with text at 1×, 1.3× and 2×, and fail on any overflow or any tab name outside its pill.</w:t>
      </w:r>
    </w:p>
    <w:p>
      <w:pPr>
        <w:pStyle w:val="ListParagraph"/>
        <w:numPr>
          <w:ilvl w:val="0"/>
          <w:numId w:val="2"/>
        </w:numPr>
        <w:spacing w:after="80" w:line="340"/>
        <w:jc w:val="both"/>
      </w:pPr>
      <w:r>
        <w:rPr>
          <w:b/>
          <w:bCs/>
        </w:rPr>
        <w:t xml:space="preserve">Colour-vision tests</w:t>
      </w:r>
      <w:r>
        <w:t xml:space="preserve"> that simulate protan, deutan and tritan vision [22] and fail if the accent colour comes within 25 ΔE of any health-status colour, in light or dark mode.</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17 October 2026 against the current version (patient app 1.42.2,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395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The patient app also has tools that render screens to images for visual review; they run only when asked to save screenshots and are not counted. The patient app’s total rose from 285 on 5 October to 318 as the interface work of weeks 6 and 7 added features and tests.</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main tab and 18 screens at 320 wide with text at 2×</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text runs out of its box; every tab name stays inside its pill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Accent and health-status colours under simulated protan, deutan and tritan vision</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checked pair at least 25 ΔE apart, in light and dark mode</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at first and over the home Wi-Fi from week 6, and the share, request-by-ID, prescription and backup flows were tested manually. On 17 October 2026 version 1.42.2 was installed over the previous version, keeping the records already on the phone. A medicine reminder fired on the device with medicine names hidden on the lock screen, as designed. OCR has so far been tested mainly on synthetic report images; evaluation on a wider set of real photographed reports is future work.</w:t>
      </w:r>
    </w:p>
    <w:p>
      <w:pPr>
        <w:pStyle w:val="Heading2"/>
      </w:pPr>
      <w:r>
        <w:t xml:space="preserve">6.5 Example of an invariant test</w:t>
      </w:r>
    </w:p>
    <w:p>
      <w:pPr>
        <w:spacing w:after="160" w:line="360"/>
        <w:jc w:val="both"/>
      </w:pPr>
      <w:r>
        <w:t xml:space="preserve">Listing 6.1 is taken from the invariant test that guards the AI planes. It loads the source of every file under lib/src/ai, strips the comments (codeOf), and fails if any of them calls ConsentStore.issue, imports the grant code, or reads the wall-clock time. If a future change gave an agent a way to grant itself access, the build would fail before the change could be released.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group('agents (lib/src/ai) never', () {</w:t>
            </w:r>
            <w:r>
              <w:rPr>
                <w:rFonts w:ascii="Courier New" w:cs="Courier New" w:eastAsia="Courier New" w:hAnsi="Courier New"/>
                <w:sz w:val="16"/>
                <w:szCs w:val="16"/>
              </w:rPr>
              <w:br/>
              <w:t xml:space="preserve">  final ai = [for (final f in lib) if (rel(f).startsWith('lib/src/ai/')) 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test('issue a grant (CLAUDE.md #5)',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final code = codeOf(f);</w:t>
            </w:r>
            <w:r>
              <w:rPr>
                <w:rFonts w:ascii="Courier New" w:cs="Courier New" w:eastAsia="Courier New" w:hAnsi="Courier New"/>
                <w:sz w:val="16"/>
                <w:szCs w:val="16"/>
              </w:rPr>
              <w:br/>
              <w:t xml:space="preserve">      expect(code.contains('.issue('), isFalse, reason: rel(f));</w:t>
            </w:r>
            <w:r>
              <w:rPr>
                <w:rFonts w:ascii="Courier New" w:cs="Courier New" w:eastAsia="Courier New" w:hAnsi="Courier New"/>
                <w:sz w:val="16"/>
                <w:szCs w:val="16"/>
              </w:rPr>
              <w:br/>
              <w:t xml:space="preserve">      expect(code.contains('grants.dart'),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test('read wall-clock time - the clock is always a parameter',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expect(codeOf(f).contains('DateTime.now()'),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6.1: Part of plane_boundary_test.dart (app/test/invariants)</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395 tests passing</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 Usable, accessible interface</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as far as tests can show: WCAG AA contrast in both modes, every main screen tested at three widths and three text sizes, status colours checked for colour-blind viewers. A usability check with older users is planned for week 9</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Three changes were made to the proposal during development:</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therefore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turned out to be the most useful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retained and extended. Instead of one synthetic dataset, every rule the system promises is written as a test with a known expected result.</w:t>
      </w:r>
    </w:p>
    <w:p>
      <w:pPr>
        <w:pStyle w:val="Heading2"/>
      </w:pPr>
      <w:r>
        <w:t xml:space="preserve">7.3 Discussion</w:t>
      </w:r>
    </w:p>
    <w:p>
      <w:pPr>
        <w:spacing w:after="160" w:line="360"/>
        <w:jc w:val="both"/>
      </w:pPr>
      <w:r>
        <w:t xml:space="preserve">The principal lesson of the project is that privacy must be part of the structure of the code from the outset; it cannot be added later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accurate wording is itself a requirement. Early screens said the doctor “keeps no copy” and that the server “cannot read” the data. Both claims were removed: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a doctor will reuse a result instead of ordering it again only if they trust where it came from. Access control alone is not enough; the doctor needs the laboratory, the sample date, the printed range and the original image. These are shown on every result.</w:t>
      </w:r>
    </w:p>
    <w:p>
      <w:pPr>
        <w:spacing w:after="160" w:line="360"/>
        <w:jc w:val="both"/>
      </w:pPr>
      <w:r>
        <w:t xml:space="preserve">The interface work taught a similar lesson. Colour on a health screen is a claim: when the restyle first used an orange for out-of-range values close to the caramel used for “selected”, a colour-blind patient could have read a selected filter as a warning. Giving each colour one meaning fixed it, and a test that measures the distance between the colours keeps it fixed. Text that ran out of its box at large text sizes was found the same way, by a test that lays out every screen at the settings older users choose, not by looking at the app on one phone.</w:t>
      </w:r>
    </w:p>
    <w:p>
      <w:pPr>
        <w:pStyle w:val="Heading2"/>
      </w:pPr>
      <w:r>
        <w:t xml:space="preserve">7.4 Comparison with existing solutions</w:t>
      </w:r>
    </w:p>
    <w:p>
      <w:pPr>
        <w:spacing w:after="160" w:line="360"/>
        <w:jc w:val="both"/>
      </w:pPr>
      <w:r>
        <w:t xml:space="preserve">Table 7.2 compares LifeTrack Health with the two most common existing categories from Chapter 2. The entries for existing categories describe typical systems in each category, not any single product.</w:t>
      </w:r>
    </w:p>
    <w:p>
      <w:pPr>
        <w:keepNext/>
        <w:spacing w:after="80" w:before="160"/>
        <w:jc w:val="center"/>
      </w:pPr>
      <w:r>
        <w:rPr>
          <w:b/>
          <w:bCs/>
          <w:sz w:val="20"/>
          <w:szCs w:val="20"/>
        </w:rPr>
        <w:t xml:space="preserve">Table 7.2: Comparison with existing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1700"/>
        <w:gridCol w:w="1700"/>
        <w:gridCol w:w="2126"/>
      </w:tblGrid>
      <w:tr>
        <w:trPr>
          <w:tblHeader/>
        </w:trPr>
        <w:tc>
          <w:tcPr>
            <w:tcW w:type="dxa" w:w="3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Feature</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Hospital EMR</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Document locker</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LifeTrack Health</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holds the complete record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Documents only</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Works offline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Inside the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Results compared with ranges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Within one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on the device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Time-limited sharing with one doctor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 or consent artefact</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1 hour to 2 days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verified before sharing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Staff only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Varies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certificate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can read shared data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(encrypted)</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profiles, proxy consent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Limited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Privacy rules tested automatically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(invariant tests)</w:t>
            </w:r>
          </w:p>
        </w:tc>
      </w:tr>
    </w:tbl>
    <w:p>
      <w:pPr>
        <w:spacing w:after="160"/>
      </w:pP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shows that a patient can hold a complete, useful health record on their own phone and share exactly the right part of it with a verified doctor for a limited time, while the server that carries the data can never read it. The prototype covers the full loop (capture, understanding, sharing, prescribing back, reminders, emergencies, family, backup and export) across a patient app, a doctor app and a server, and every privacy and safety promise it makes is checked by an automated test. The interface was reviewed, restyled and tested for contrast, colour vision and fit on small screens with large text. All 395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 has been processed.</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only on a laptop, reached over USB or the home Wi-Fi, and has not been deployed on the public internet. Over Wi-Fi the connection is plain HTTP; records and backups are already encrypted, but a hosted server would need TLS.</w:t>
      </w:r>
    </w:p>
    <w:p>
      <w:pPr>
        <w:pStyle w:val="ListParagraph"/>
        <w:numPr>
          <w:ilvl w:val="0"/>
          <w:numId w:val="2"/>
        </w:numPr>
        <w:spacing w:after="80" w:line="340"/>
        <w:jc w:val="both"/>
      </w:pPr>
      <w:r>
        <w:t xml:space="preserve">The app is in English only, and its usability has not yet been tested with older users (planned for week 9).</w:t>
      </w:r>
    </w:p>
    <w:p>
      <w:pPr>
        <w:pStyle w:val="Heading2"/>
      </w:pPr>
      <w:r>
        <w:t xml:space="preserve">8.3 Future scope</w:t>
      </w:r>
    </w:p>
    <w:p>
      <w:pPr>
        <w:pStyle w:val="ListParagraph"/>
        <w:numPr>
          <w:ilvl w:val="0"/>
          <w:numId w:val="5"/>
        </w:numPr>
        <w:spacing w:after="80" w:line="340"/>
        <w:jc w:val="both"/>
      </w:pPr>
      <w:r>
        <w:t xml:space="preserve">ABDM / ABHA integration: verify ABHA, link records as a health information user, and map ABDM consent artefacts as a separate long-lived type.</w:t>
      </w:r>
    </w:p>
    <w:p>
      <w:pPr>
        <w:pStyle w:val="ListParagraph"/>
        <w:numPr>
          <w:ilvl w:val="0"/>
          <w:numId w:val="5"/>
        </w:numPr>
        <w:spacing w:after="80" w:line="340"/>
        <w:jc w:val="both"/>
      </w:pPr>
      <w:r>
        <w:t xml:space="preserve">DigiLocker partner registration to replace the practice stand-in.</w:t>
      </w:r>
    </w:p>
    <w:p>
      <w:pPr>
        <w:pStyle w:val="ListParagraph"/>
        <w:numPr>
          <w:ilvl w:val="0"/>
          <w:numId w:val="5"/>
        </w:numPr>
        <w:spacing w:after="80" w:line="340"/>
        <w:jc w:val="both"/>
      </w:pPr>
      <w:r>
        <w:t xml:space="preserve">FHIR R4 export of records with Provenance resources.</w:t>
      </w:r>
    </w:p>
    <w:p>
      <w:pPr>
        <w:pStyle w:val="ListParagraph"/>
        <w:numPr>
          <w:ilvl w:val="0"/>
          <w:numId w:val="5"/>
        </w:numPr>
        <w:spacing w:after="80" w:line="340"/>
        <w:jc w:val="both"/>
      </w:pPr>
      <w:r>
        <w:t xml:space="preserve">Hosted deployment of the server behind a reverse proxy, with push notifications instead of polling.</w:t>
      </w:r>
    </w:p>
    <w:p>
      <w:pPr>
        <w:pStyle w:val="ListParagraph"/>
        <w:numPr>
          <w:ilvl w:val="0"/>
          <w:numId w:val="5"/>
        </w:numPr>
        <w:spacing w:after="80" w:line="340"/>
        <w:jc w:val="both"/>
      </w:pPr>
      <w:r>
        <w:t xml:space="preserve">iOS support, including on-device OCR with Apple Vision.</w:t>
      </w:r>
    </w:p>
    <w:p>
      <w:pPr>
        <w:pStyle w:val="ListParagraph"/>
        <w:numPr>
          <w:ilvl w:val="0"/>
          <w:numId w:val="5"/>
        </w:numPr>
        <w:spacing w:after="80" w:line="340"/>
        <w:jc w:val="both"/>
      </w:pPr>
      <w:r>
        <w:t xml:space="preserve">Hindi and other Indian languages for the screens and for reading reports.</w:t>
      </w:r>
    </w:p>
    <w:p>
      <w:pPr>
        <w:pStyle w:val="ListParagraph"/>
        <w:numPr>
          <w:ilvl w:val="0"/>
          <w:numId w:val="5"/>
        </w:numPr>
        <w:spacing w:after="80" w:line="340"/>
        <w:jc w:val="both"/>
      </w:pPr>
      <w:r>
        <w:t xml:space="preserve">OCR accuracy study on real photographed reports from Indian laboratories.</w:t>
      </w:r>
    </w:p>
    <w:p>
      <w:pPr>
        <w:pStyle w:val="ListParagraph"/>
        <w:numPr>
          <w:ilvl w:val="0"/>
          <w:numId w:val="5"/>
        </w:numPr>
        <w:spacing w:after="80" w:line="340"/>
        <w:jc w:val="both"/>
      </w:pPr>
      <w:r>
        <w:t xml:space="preserve">Relative-contributed family history, with that relative’s own consent per request.</w:t>
      </w:r>
    </w:p>
    <w:p>
      <w:pPr>
        <w:pStyle w:val="ListParagraph"/>
        <w:numPr>
          <w:ilvl w:val="0"/>
          <w:numId w:val="5"/>
        </w:numPr>
        <w:spacing w:after="80" w:line="340"/>
        <w:jc w:val="both"/>
      </w:pPr>
      <w:r>
        <w:t xml:space="preserve">Plane C (Tier 2) cloud analysis, only with a certified service and the human-tap safeguards already designed.</w:t>
      </w:r>
    </w:p>
    <w:p>
      <w:pPr>
        <w:pStyle w:val="ListParagraph"/>
        <w:numPr>
          <w:ilvl w:val="0"/>
          <w:numId w:val="5"/>
        </w:numPr>
        <w:spacing w:after="80" w:line="340"/>
        <w:jc w:val="both"/>
      </w:pPr>
      <w:r>
        <w:t xml:space="preserve">Pilot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spacing w:after="120" w:line="300"/>
        <w:ind w:left="567" w:hanging="567"/>
      </w:pPr>
      <w:r>
        <w:t xml:space="preserve">[22]  </w:t>
      </w:r>
      <w:r>
        <w:rPr>
          <w:i w:val="false"/>
          <w:iCs w:val="false"/>
        </w:rPr>
        <w:t xml:space="preserve">G. M. Machado, M. M. Oliveira, L. A. F. Fernandes. “A Physiologically-based Model for Simulation of Color Vision Deficiency.” </w:t>
      </w:r>
      <w:r>
        <w:rPr>
          <w:i/>
          <w:iCs/>
        </w:rPr>
        <w:t xml:space="preserve">IEEE Transactions on Visualization and Computer Graphics</w:t>
      </w:r>
      <w:r>
        <w:rPr>
          <w:i w:val="false"/>
          <w:iCs w:val="false"/>
        </w:rPr>
        <w:t xml:space="preserve">, 15(6), 1291–1298, 2009.</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1.19.1–1.26.0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First interface review: whose records on every tab, labelled tabs, swipe to tick, photos, “done” animation, larger secondary text, frosted glass bars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1.27.0–1.37.3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10–11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Second interface review: branded launch screen, slimmer top bar, today’s progress card, welcome screen, touch effect, richer Records cards with sparklines, sliding tab pill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1.38.0–1.40.1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Restyle: Sora typeface, caramel accent, white cards, photo welcome and lock screens, new add pages, profile photos; server over the home Wi-Fi; purple and teal status colours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1.41.0–1.42.0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tree; ten-person sample family; reminders editable where shown; LifeTrack IDs for sample people (practice server only)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1.42.1–1.42.2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text overflow on narrow screens or at large text sizes; smoother scrolling and tab switches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spacing w:after="160" w:line="360"/>
        <w:jc w:val="both"/>
      </w:pPr>
      <w:r>
        <w:t xml:space="preserve">To work without a cable, start the server with </w:t>
      </w:r>
      <w:r>
        <w:rPr>
          <w:rFonts w:ascii="Courier New" w:cs="Courier New" w:eastAsia="Courier New" w:hAnsi="Courier New"/>
          <w:sz w:val="21"/>
          <w:szCs w:val="21"/>
        </w:rPr>
        <w:t xml:space="preserve">scripts/run_server_lan.sh</w:t>
      </w:r>
      <w:r>
        <w:t xml:space="preserve"> instead. It listens on the computer’s Wi-Fi address, which the phone must share.</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computer’s current Wi-Fi address and the registry key built in (</w:t>
      </w:r>
      <w:r>
        <w:rPr>
          <w:rFonts w:ascii="Courier New" w:cs="Courier New" w:eastAsia="Courier New" w:hAnsi="Courier New"/>
          <w:sz w:val="21"/>
          <w:szCs w:val="21"/>
        </w:rPr>
        <w:t xml:space="preserve">LT_SERVER=usb</w:t>
      </w:r>
      <w:r>
        <w:t xml:space="preserve"> builds the cable version); install it with </w:t>
      </w:r>
      <w:r>
        <w:rPr>
          <w:rFonts w:ascii="Courier New" w:cs="Courier New" w:eastAsia="Courier New" w:hAnsi="Courier New"/>
          <w:sz w:val="21"/>
          <w:szCs w:val="21"/>
        </w:rPr>
        <w:t xml:space="preserve">adb install -r</w:t>
      </w:r>
      <w:r>
        <w:t xml:space="preserve">, which keeps the records already on the phone. Rebuild when the computer’s Wi-Fi address changes.</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jc w:val="right"/>
    </w:pPr>
    <w:r>
      <w:rPr>
        <w:i/>
        <w:iCs/>
        <w:color w:val="666666"/>
        <w:sz w:val="18"/>
        <w:szCs w:val="18"/>
      </w:rPr>
      <w:t xml:space="preserve">LifeTrack Health  |  NTCC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414289b450300a5ed95636d4fede22e93a98e669.png"/><Relationship Id="rId11" Type="http://schemas.openxmlformats.org/officeDocument/2006/relationships/image" Target="media/0a317daca580ea3b58bcfeb2e6c35024af80172b.png"/><Relationship Id="rId12" Type="http://schemas.openxmlformats.org/officeDocument/2006/relationships/image" Target="media/d00c79a1bae2dd84edde2ccc885f51eb7a6c0af8.png"/><Relationship Id="rId13" Type="http://schemas.openxmlformats.org/officeDocument/2006/relationships/image" Target="media/a384825bda1fc601f92a3f0790d0c71c067c0d4c.png"/><Relationship Id="rId14" Type="http://schemas.openxmlformats.org/officeDocument/2006/relationships/image" Target="media/3efc32e7d8388fc3e9ec62df49ab4fec61638c56.png"/><Relationship Id="rId15" Type="http://schemas.openxmlformats.org/officeDocument/2006/relationships/image" Target="media/f6d9552019b2d7f090287a1ecd6e756850a7d60a.png"/><Relationship Id="rId16" Type="http://schemas.openxmlformats.org/officeDocument/2006/relationships/image" Target="media/1dc31804dbb3e72bfde5691361999af1ef18e60a.png"/><Relationship Id="rId17" Type="http://schemas.openxmlformats.org/officeDocument/2006/relationships/image" Target="media/26e9f0490f40c82b69d9ed3ea44fa14d5fb795b4.png"/><Relationship Id="rId18" Type="http://schemas.openxmlformats.org/officeDocument/2006/relationships/image" Target="media/2233a91aaf6574f3acefbe56c93438b0ba62950a.png"/><Relationship Id="rId19" Type="http://schemas.openxmlformats.org/officeDocument/2006/relationships/image" Target="media/399048636cfa6afbb7a9497ba9beec8070e4d905.png"/><Relationship Id="rId20" Type="http://schemas.openxmlformats.org/officeDocument/2006/relationships/image" Target="media/0265d559e3b1a36d1a49fc13af72d6c7db1622a5.png"/><Relationship Id="rId21" Type="http://schemas.openxmlformats.org/officeDocument/2006/relationships/image" Target="media/c0f03c1c897a5161544befcfea6b2ad87667e4c7.png"/><Relationship Id="rId22" Type="http://schemas.openxmlformats.org/officeDocument/2006/relationships/image" Target="media/b2b56ffe8827d4ba5d938dfeb0dff6c7f5b2ab86.png"/><Relationship Id="rId23" Type="http://schemas.openxmlformats.org/officeDocument/2006/relationships/image" Target="media/d25c2b70cf36eb0c4867906b1aa6833bf12f3543.png"/><Relationship Id="rId24" Type="http://schemas.openxmlformats.org/officeDocument/2006/relationships/image" Target="media/705af104754775dc88cd8ffd53a53e82bd789550.png"/><Relationship Id="rId25" Type="http://schemas.openxmlformats.org/officeDocument/2006/relationships/image" Target="media/d0e44aa50ef5100db8758a1f6e60817058dd68d1.png"/><Relationship Id="rId26" Type="http://schemas.openxmlformats.org/officeDocument/2006/relationships/image" Target="media/3aeebc771fb7c5ef108fde30faa8a4b7869fbe1b.png"/><Relationship Id="rId27" Type="http://schemas.openxmlformats.org/officeDocument/2006/relationships/image" Target="media/fc9c706ab5c34857d4954b38b34da5eb1baacc0f.png"/><Relationship Id="rId28" Type="http://schemas.openxmlformats.org/officeDocument/2006/relationships/image" Target="media/cd01d28388a071c1547857af85c38885a08caf29.png"/><Relationship Id="rId29" Type="http://schemas.openxmlformats.org/officeDocument/2006/relationships/image" Target="media/3d8f17a83f074003929258443737246f89e270d8.png"/><Relationship Id="rId30" Type="http://schemas.openxmlformats.org/officeDocument/2006/relationships/image" Target="media/eac07b7e6989933c0b6bdf448459d4662a6965dc.png"/><Relationship Id="rId31" Type="http://schemas.openxmlformats.org/officeDocument/2006/relationships/image" Target="media/3d51a5c3d87b9cf0fcac0bcd971a29b3069e419e.png"/><Relationship Id="rId32" Type="http://schemas.openxmlformats.org/officeDocument/2006/relationships/image" Target="media/616bf83745e23a32807d5ef95322b35813ba3d11.png"/><Relationship Id="rId33" Type="http://schemas.openxmlformats.org/officeDocument/2006/relationships/image" Target="media/444e655e640083035d8766e62f2cf29fcb60c81e.png"/><Relationship Id="rId34" Type="http://schemas.openxmlformats.org/officeDocument/2006/relationships/image" Target="media/8fdf02f344c031987c3836e41865d6ff2529c405.png"/><Relationship Id="rId35" Type="http://schemas.openxmlformats.org/officeDocument/2006/relationships/image" Target="media/e5908de545fd4ec30c10260f5b4dc6b6d2145ec7.png"/><Relationship Id="rId36" Type="http://schemas.openxmlformats.org/officeDocument/2006/relationships/image" Target="media/867d2e1d8f2d774f9925e3afb91213727f2d90f8.png"/><Relationship Id="rId37" Type="http://schemas.openxmlformats.org/officeDocument/2006/relationships/image" Target="media/d124c38991c228d320ea1cfd74effa75b3271481.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NTCC Project Report</dc:title>
  <dc:creator>LifeTrack Health</dc:creator>
  <cp:lastModifiedBy>Un-named</cp:lastModifiedBy>
  <cp:revision>1</cp:revision>
  <dcterms:created xsi:type="dcterms:W3CDTF">2026-10-17T08:12:37.091Z</dcterms:created>
  <dcterms:modified xsi:type="dcterms:W3CDTF">2026-10-17T08:12:37.092Z</dcterms:modified>
</cp:coreProperties>
</file>

<file path=docProps/custom.xml><?xml version="1.0" encoding="utf-8"?>
<Properties xmlns="http://schemas.openxmlformats.org/officeDocument/2006/custom-properties" xmlns:vt="http://schemas.openxmlformats.org/officeDocument/2006/docPropsVTypes"/>
</file>