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highlight w:val="yellow"/>
        </w:rPr>
        <w:t xml:space="preserve">[Programme, e.g. Bachelor of Science in Information Technology (B.Sc. IT)]</w:t>
      </w:r>
    </w:p>
    <w:p/>
    <w:p>
      <w:pPr>
        <w:spacing w:after="160" w:line="360"/>
        <w:jc w:val="center"/>
      </w:pPr>
      <w:r>
        <w:rPr>
          <w:sz w:val="24"/>
          <w:szCs w:val="24"/>
        </w:rPr>
        <w:t xml:space="preserve">Submitted by</w:t>
      </w:r>
    </w:p>
    <w:p>
      <w:pPr>
        <w:spacing w:after="160" w:line="360"/>
        <w:jc w:val="center"/>
      </w:pPr>
      <w:r>
        <w:rPr>
          <w:sz w:val="24"/>
          <w:szCs w:val="24"/>
          <w:highlight w:val="yellow"/>
        </w:rPr>
        <w:t xml:space="preserve">[Student 1 name — Enrolment no.]</w:t>
      </w:r>
    </w:p>
    <w:p>
      <w:pPr>
        <w:spacing w:after="160" w:line="360"/>
        <w:jc w:val="center"/>
      </w:pPr>
      <w:r>
        <w:rPr>
          <w:sz w:val="24"/>
          <w:szCs w:val="24"/>
          <w:highlight w:val="yellow"/>
        </w:rPr>
        <w:t xml:space="preserve">[Student 2 name — Enrolment no.]</w:t>
      </w:r>
    </w:p>
    <w:p>
      <w:pPr>
        <w:spacing w:after="160" w:line="360"/>
        <w:jc w:val="center"/>
      </w:pPr>
      <w:r>
        <w:rPr>
          <w:sz w:val="24"/>
          <w:szCs w:val="24"/>
          <w:highlight w:val="yellow"/>
        </w:rPr>
        <w:t xml:space="preserve">[Student 3 name — Enrolment no.]</w:t>
      </w:r>
    </w:p>
    <w:p>
      <w:pPr>
        <w:spacing w:after="160" w:line="360"/>
        <w:jc w:val="center"/>
      </w:pPr>
      <w:r>
        <w:rPr>
          <w:sz w:val="24"/>
          <w:szCs w:val="24"/>
          <w:highlight w:val="yellow"/>
        </w:rPr>
        <w:t xml:space="preserve">[Student 4 name — Enrolment no.]</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highlight w:val="yellow"/>
        </w:rPr>
        <w:t xml:space="preserve">[Designation]</w:t>
      </w:r>
      <w:r>
        <w:rPr>
          <w:sz w:val="24"/>
          <w:szCs w:val="24"/>
        </w:rPr>
        <w:t xml:space="preserve">,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w:t>
      </w:r>
      <w:r>
        <w:rPr>
          <w:sz w:val="24"/>
          <w:szCs w:val="24"/>
          <w:highlight w:val="yellow"/>
        </w:rPr>
        <w:t xml:space="preserve">[2025–2028]</w:t>
      </w:r>
      <w:r>
        <w:rPr>
          <w:sz w:val="24"/>
          <w:szCs w:val="24"/>
        </w:rPr>
        <w:t xml:space="preserve">  ·  October 2026</w:t>
      </w:r>
    </w:p>
    <w:p>
      <w:pPr>
        <w:sectPr>
          <w:pgSz w:w="11906" w:h="16838" w:orient="portrait"/>
          <w:pgMar w:top="1440" w:right="1440" w:bottom="1440" w:left="1440" w:header="708" w:footer="708" w:gutter="0"/>
          <w:pgNumType/>
          <w:docGrid w:linePitch="360"/>
        </w:sectPr>
      </w:pPr>
    </w:p>
    <w:p>
      <w:pPr>
        <w:pStyle w:val="Title"/>
        <w:pageBreakBefore/>
      </w:pPr>
      <w:r>
        <w:t xml:space="preserve">DECLARATION</w:t>
      </w:r>
    </w:p>
    <w:p>
      <w:pPr>
        <w:spacing w:after="160" w:line="360"/>
        <w:jc w:val="both"/>
      </w:pPr>
      <w:r>
        <w:t xml:space="preserve">We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w:t>
      </w:r>
      <w:r>
        <w:rPr>
          <w:highlight w:val="yellow"/>
        </w:rPr>
        <w:t xml:space="preserve">[Programme]</w:t>
      </w:r>
      <w:r>
        <w:t xml:space="preserve">, is a record of original work carried out by us under the supervision of Dr. Priyadarshini Gupta.</w:t>
      </w:r>
    </w:p>
    <w:p>
      <w:pPr>
        <w:spacing w:after="160" w:line="360"/>
        <w:jc w:val="both"/>
      </w:pPr>
      <w:r>
        <w:t xml:space="preserve">The software described in this report was designed, built and tested by the project team. Published standards, laws and libraries used in the work are acknowledged in the References. This report has not been submitted, in part or in full, to any other university or institution for the award of any degree or diploma.</w:t>
      </w:r>
    </w:p>
    <w:p/>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000"/>
        <w:gridCol w:w="24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Name</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Enrolment number</w:t>
            </w:r>
          </w:p>
        </w:tc>
        <w:tc>
          <w:tcPr>
            <w:tcW w:type="dxa" w:w="2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Signature</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bl>
    <w:p>
      <w:pPr>
        <w:spacing w:after="160"/>
      </w:pPr>
    </w:p>
    <w:p>
      <w:pPr>
        <w:spacing w:after="160" w:line="360"/>
        <w:jc w:val="left"/>
      </w:pPr>
      <w:r>
        <w:t xml:space="preserve">Place: Patna						Date: </w:t>
      </w:r>
      <w:r>
        <w:rPr>
          <w:highlight w:val="yellow"/>
        </w:rPr>
        <w:t xml:space="preserve">[Date of submission]</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w:t>
      </w:r>
      <w:r>
        <w:rPr>
          <w:highlight w:val="yellow"/>
        </w:rPr>
        <w:t xml:space="preserve">[Student 1]</w:t>
      </w:r>
      <w:r>
        <w:t xml:space="preserve">, </w:t>
      </w:r>
      <w:r>
        <w:rPr>
          <w:highlight w:val="yellow"/>
        </w:rPr>
        <w:t xml:space="preserve">[Student 2]</w:t>
      </w:r>
      <w:r>
        <w:t xml:space="preserve">, </w:t>
      </w:r>
      <w:r>
        <w:rPr>
          <w:highlight w:val="yellow"/>
        </w:rPr>
        <w:t xml:space="preserve">[Student 3]</w:t>
      </w:r>
      <w:r>
        <w:t xml:space="preserve"> and </w:t>
      </w:r>
      <w:r>
        <w:rPr>
          <w:highlight w:val="yellow"/>
        </w:rPr>
        <w:t xml:space="preserve">[Student 4]</w:t>
      </w:r>
      <w:r>
        <w:t xml:space="preserve"> in partial fulfilment of the requirements for the degree of </w:t>
      </w:r>
      <w:r>
        <w:rPr>
          <w:highlight w:val="yellow"/>
        </w:rPr>
        <w:t xml:space="preserve">[Programme]</w:t>
      </w:r>
      <w:r>
        <w:t xml:space="preserve"> at Amity Institute of Information Technology, Amity University Patna, is a bona fide record of work carried out by them under my supervision during the academic session </w:t>
      </w:r>
      <w:r>
        <w:rPr>
          <w:highlight w:val="yellow"/>
        </w:rPr>
        <w:t xml:space="preserve">[2025–2028]</w:t>
      </w:r>
      <w:r>
        <w:t xml:space="preserve">.</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rPr>
          <w:highlight w:val="yellow"/>
        </w:rPr>
        <w:t xml:space="preserve">[Designation]</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We express our sincere gratitude to our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We thank the Director and faculty of Amity Institute of Information Technology, Amity University Patna, for providing the environment and resources to carry out this work, and our classmates for testing early versions of the apps and reporting what confused them.</w:t>
      </w:r>
    </w:p>
    <w:p>
      <w:pPr>
        <w:spacing w:after="160" w:line="360"/>
        <w:jc w:val="both"/>
      </w:pPr>
      <w:r>
        <w:t xml:space="preserve">We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Finally, we thank our families for their patience and support.</w:t>
      </w:r>
    </w:p>
    <w:p/>
    <w:p/>
    <w:p>
      <w:pPr>
        <w:spacing w:after="160" w:line="360"/>
        <w:jc w:val="right"/>
      </w:pPr>
      <w:r>
        <w:rPr>
          <w:highlight w:val="yellow"/>
        </w:rPr>
        <w:t xml:space="preserve">[Student 1]</w:t>
      </w:r>
    </w:p>
    <w:p>
      <w:pPr>
        <w:spacing w:after="160" w:line="360"/>
        <w:jc w:val="right"/>
      </w:pPr>
      <w:r>
        <w:rPr>
          <w:highlight w:val="yellow"/>
        </w:rPr>
        <w:t xml:space="preserve">[Student 2]</w:t>
      </w:r>
    </w:p>
    <w:p>
      <w:pPr>
        <w:spacing w:after="160" w:line="360"/>
        <w:jc w:val="right"/>
      </w:pPr>
      <w:r>
        <w:rPr>
          <w:highlight w:val="yellow"/>
        </w:rPr>
        <w:t xml:space="preserve">[Student 3]</w:t>
      </w:r>
    </w:p>
    <w:p>
      <w:pPr>
        <w:spacing w:after="160" w:line="360"/>
        <w:jc w:val="right"/>
      </w:pPr>
      <w:r>
        <w:rPr>
          <w:highlight w:val="yellow"/>
        </w:rPr>
        <w:t xml:space="preserve">[Student 4]</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 not because of poor clinical judgement but because the data is fragmented. The patient is the only person present at every encounter, yet rarely holds a complete record.</w:t>
      </w:r>
    </w:p>
    <w:p>
      <w:pPr>
        <w:spacing w:after="120" w:line="320"/>
        <w:jc w:val="both"/>
      </w:pPr>
      <w:r>
        <w:rPr>
          <w:b/>
          <w:bCs/>
        </w:rPr>
        <w:t xml:space="preserve">LifeTrack Health</w:t>
      </w:r>
      <w:r>
        <w:t xml:space="preserve"> is a working prototype of a patient-owned, local-first health record that addresses this problem. It consists of four parts: an Android patient app built in Flutter; </w:t>
      </w:r>
      <w:r>
        <w:rPr>
          <w:b/>
          <w:bCs/>
        </w:rPr>
        <w:t xml:space="preserve">LifeTrack Clinic</w:t>
      </w:r>
      <w:r>
        <w:t xml:space="preserve">,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 Summary, All reports, Family illnesses or Home readings —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was built in Dart and Flutter (about 21,700 lines of application code) and is verified by </w:t>
      </w:r>
      <w:r>
        <w:rPr>
          <w:b/>
          <w:bCs/>
        </w:rPr>
        <w:t xml:space="preserve">354 automated tests</w:t>
      </w:r>
      <w:r>
        <w:t xml:space="preserve"> across unit, widget, invariant and end-to-end integration levels, all passing, with a clean static analysis. The invariant tests turn the project’s privacy promises — for example that no screen may claim the server “cannot read” the data, or that no agent may issue itself a grant — into checks that fail the build. The report describes the problem, the related work, the requirements, the architecture and security design, the implementation, the testing and the results, and closes with limitations and future work, notably ABDM/ABHA integration and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60" w:line="360"/>
        <w:jc w:val="both"/>
      </w:pPr>
      <w:r>
        <w:rPr>
          <w:i/>
          <w:iCs/>
          <w:sz w:val="20"/>
          <w:szCs w:val="20"/>
        </w:rPr>
        <w:t xml:space="preserve">(If page numbers do not appear, right-click the table in Word and choose “Update Field”.)</w:t>
      </w:r>
    </w:p>
    <w:p>
      <w:pPr>
        <w:pStyle w:val="Title"/>
        <w:pageBreakBefore/>
      </w:pPr>
      <w:r>
        <w:t xml:space="preserve">LIST OF FIGURES</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5.1  Patient app: Reminders, Records and Insights</w:t>
      </w:r>
    </w:p>
    <w:p>
      <w:pPr>
        <w:spacing w:after="80"/>
      </w:pPr>
      <w:r>
        <w:rPr>
          <w:sz w:val="22"/>
          <w:szCs w:val="22"/>
        </w:rPr>
        <w:t xml:space="preserve">Figure 5.2  Patient app: Share and Me</w:t>
      </w:r>
    </w:p>
    <w:p>
      <w:pPr>
        <w:spacing w:after="80"/>
      </w:pPr>
      <w:r>
        <w:rPr>
          <w:sz w:val="22"/>
          <w:szCs w:val="22"/>
        </w:rPr>
        <w:t xml:space="preserve">Figure 5.3  LifeTrack Clinic: verified code, request by ID and an arrived share</w:t>
      </w:r>
    </w:p>
    <w:p>
      <w:pPr>
        <w:spacing w:after="80"/>
      </w:pPr>
      <w:r>
        <w:rPr>
          <w:sz w:val="22"/>
          <w:szCs w:val="22"/>
        </w:rPr>
        <w:t xml:space="preserve">Figure 5.4  LifeTrack Clinic: a shared summary and a prescription being written</w:t>
      </w:r>
    </w:p>
    <w:p>
      <w:pPr>
        <w:spacing w:after="80"/>
      </w:pPr>
      <w:r>
        <w:rPr>
          <w:sz w:val="22"/>
          <w:szCs w:val="22"/>
        </w:rPr>
        <w:t xml:space="preserve">Figure 5.5  LifeTrack Clinic: the Profile tab</w:t>
      </w:r>
    </w:p>
    <w:p>
      <w:pPr>
        <w:pStyle w:val="Title"/>
        <w:pageBreakBefore/>
      </w:pPr>
      <w:r>
        <w:t xml:space="preserve">LIST OF TABLES</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 patient app</w:t>
      </w:r>
    </w:p>
    <w:p>
      <w:pPr>
        <w:spacing w:after="80"/>
      </w:pPr>
      <w:r>
        <w:rPr>
          <w:sz w:val="22"/>
          <w:szCs w:val="22"/>
        </w:rPr>
        <w:t xml:space="preserve">Table 3.3  Functional requirements —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4.1  Access levels</w:t>
      </w:r>
    </w:p>
    <w:p>
      <w:pPr>
        <w:spacing w:after="80"/>
      </w:pPr>
      <w:r>
        <w:rPr>
          <w:sz w:val="22"/>
          <w:szCs w:val="22"/>
        </w:rPr>
        <w:t xml:space="preserve">Table 5.1  Technology stack</w:t>
      </w:r>
    </w:p>
    <w:p>
      <w:pPr>
        <w:spacing w:after="80"/>
      </w:pPr>
      <w:r>
        <w:rPr>
          <w:sz w:val="22"/>
          <w:szCs w:val="22"/>
        </w:rPr>
        <w:t xml:space="preserve">Table 5.2  Code size by part</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UI</w:t>
      </w:r>
      <w:r>
        <w:t xml:space="preserve">	User Interface</w:t>
      </w:r>
    </w:p>
    <w:p>
      <w:pPr>
        <w:tabs>
          <w:tab w:val="left" w:pos="1800"/>
        </w:tabs>
        <w:spacing w:after="60"/>
      </w:pPr>
      <w:r>
        <w:rPr>
          <w:b/>
          <w:bCs/>
        </w:rPr>
        <w:t xml:space="preserve">WCAG</w:t>
      </w:r>
      <w:r>
        <w:t xml:space="preserve">	Web Content Accessibility Guidelines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Health care in India is delivered by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 prescriptions, lab printouts, discharge summaries and scan reports —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A local-first design — where the authoritative copy lives on the patient’s device and leaves it only encrypted, on the patient’s explicit action — reduces that risk by construction. Building such a system end to end, including the cryptography, the consent rules and a doctor-side app, is a demanding software-engineering exercise that touches mobile development, security, distributed systems, user-interface design and law.</w:t>
      </w:r>
    </w:p>
    <w:p>
      <w:pPr>
        <w:pStyle w:val="Heading2"/>
      </w:pPr>
      <w:r>
        <w:t xml:space="preserve">1.4 Objectives</w:t>
      </w:r>
    </w:p>
    <w:p>
      <w:pPr>
        <w:pStyle w:val="ListParagraph"/>
        <w:numPr>
          <w:ilvl w:val="0"/>
          <w:numId w:val="3"/>
        </w:numPr>
        <w:spacing w:after="80" w:line="340"/>
        <w:jc w:val="both"/>
      </w:pPr>
      <w:r>
        <w:t xml:space="preserve">Build a </w:t>
      </w:r>
      <w:r>
        <w:rPr>
          <w:b/>
          <w:bCs/>
        </w:rPr>
        <w:t xml:space="preserve">patient-owned record</w:t>
      </w:r>
      <w:r>
        <w:t xml:space="preserve">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w:t>
      </w:r>
      <w:r>
        <w:rPr>
          <w:b/>
          <w:bCs/>
        </w:rPr>
        <w:t xml:space="preserve">clinician access explicit, time-limited and revocable</w:t>
      </w:r>
      <w:r>
        <w:t xml:space="preserve">: the patient approves a level of access for one verified doctor for a chosen time, and can shorten, extend or end it.</w:t>
      </w:r>
    </w:p>
    <w:p>
      <w:pPr>
        <w:pStyle w:val="ListParagraph"/>
        <w:numPr>
          <w:ilvl w:val="0"/>
          <w:numId w:val="3"/>
        </w:numPr>
        <w:spacing w:after="80" w:line="340"/>
        <w:jc w:val="both"/>
      </w:pPr>
      <w:r>
        <w:t xml:space="preserve">Guarantee that </w:t>
      </w:r>
      <w:r>
        <w:rPr>
          <w:b/>
          <w:bCs/>
        </w:rPr>
        <w:t xml:space="preserve">no server can read</w:t>
      </w:r>
      <w:r>
        <w:t xml:space="preserve">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w:t>
      </w:r>
      <w:r>
        <w:rPr>
          <w:b/>
          <w:bCs/>
        </w:rPr>
        <w:t xml:space="preserve">useful, safe insights</w:t>
      </w:r>
      <w:r>
        <w:t xml:space="preserve">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data-entry effort by </w:t>
      </w:r>
      <w:r>
        <w:rPr>
          <w:b/>
          <w:bCs/>
        </w:rPr>
        <w:t xml:space="preserve">reading photographed and PDF lab reports on the device</w:t>
      </w:r>
      <w:r>
        <w:t xml:space="preserve"> (OCR), with the patient confirming uncertain fields.</w:t>
      </w:r>
    </w:p>
    <w:p>
      <w:pPr>
        <w:pStyle w:val="ListParagraph"/>
        <w:numPr>
          <w:ilvl w:val="0"/>
          <w:numId w:val="3"/>
        </w:numPr>
        <w:spacing w:after="80" w:line="340"/>
        <w:jc w:val="both"/>
      </w:pPr>
      <w:r>
        <w:t xml:space="preserve">Build a </w:t>
      </w:r>
      <w:r>
        <w:rPr>
          <w:b/>
          <w:bCs/>
        </w:rPr>
        <w:t xml:space="preserve">doctor app</w:t>
      </w:r>
      <w:r>
        <w:t xml:space="preserve">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w:t>
      </w:r>
      <w:r>
        <w:rPr>
          <w:b/>
          <w:bCs/>
        </w:rPr>
        <w:t xml:space="preserve">verifiable</w:t>
      </w:r>
      <w:r>
        <w:t xml:space="preserve">: express the system’s rules as automated tests that fail the build when broken.</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The widely adopted standard for exchanging health data as resources (Patient, Observation, MedicationRequest,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for authenticated encryption; X25519 (RFC 7748) for key agreement; Ed25519 (RFC 8032) for signatures; HKDF (RFC 5869) for key derivation; Argon2id (RFC 9106) for password hashing, using the OWASP-recommended minimum parameters; Shamir’s secret sharing for recovery codes.</w:t>
      </w:r>
    </w:p>
    <w:p>
      <w:pPr>
        <w:pStyle w:val="ListParagraph"/>
        <w:numPr>
          <w:ilvl w:val="0"/>
          <w:numId w:val="2"/>
        </w:numPr>
        <w:spacing w:after="80" w:line="340"/>
        <w:jc w:val="both"/>
      </w:pPr>
      <w:r>
        <w:rPr>
          <w:b/>
          <w:bCs/>
        </w:rPr>
        <w:t xml:space="preserve">WCAG 2.1 AA.</w:t>
      </w:r>
      <w:r>
        <w:t xml:space="preserve">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Requires free, specific, informed and unambiguous consent, purpose limitation, a right of access and erasure, and verifiable parental consent for children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and the 2019 Aadhaar amendment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The local-first software movement argues that the user’s device should hold the authoritative copy of their data, with the network used for synchronisation and collaboration rather than custody. End-to-end encryption, familiar from messaging, shows that a relay can carry data it cannot read. Clinical-safety guidance for software as a medical device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No widely available system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dark mode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semantic colours checked for colour-vision deficiency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354 automated tests; every update raises the version and adds a changelog line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bl>
    <w:p>
      <w:pPr>
        <w:spacing w:after="160"/>
      </w:pPr>
    </w:p>
    <w:p>
      <w:pPr>
        <w:pStyle w:val="Heading2"/>
      </w:pPr>
      <w:r>
        <w:t xml:space="preserve">3.5 Feasibility study</w:t>
      </w:r>
    </w:p>
    <w:p>
      <w:pPr>
        <w:pStyle w:val="ListParagraph"/>
        <w:numPr>
          <w:ilvl w:val="0"/>
          <w:numId w:val="2"/>
        </w:numPr>
        <w:spacing w:after="80" w:line="340"/>
        <w:jc w:val="both"/>
      </w:pPr>
      <w:r>
        <w:rPr>
          <w:b/>
          <w:bCs/>
        </w:rPr>
        <w:t xml:space="preserve">Technical.</w:t>
      </w:r>
      <w:r>
        <w:t xml:space="preserve"> Flutter and Dart provide mature cryptography, camera, QR and notification support; Tesseract runs fully on-device. The prototype demonstrates every required flow end to end.</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w:t>
      </w:r>
      <w:r>
        <w:rPr>
          <w:b/>
          <w:bCs/>
        </w:rPr>
        <w:t xml:space="preserve">patient app</w:t>
      </w:r>
      <w:r>
        <w:t xml:space="preserve"> is the custodian of the record. The </w:t>
      </w:r>
      <w:r>
        <w:rPr>
          <w:b/>
          <w:bCs/>
        </w:rPr>
        <w:t xml:space="preserve">doctor app</w:t>
      </w:r>
      <w:r>
        <w:t xml:space="preserve">, LifeTrack Clinic, is the only other place records can be read, and only while a share is open. The </w:t>
      </w:r>
      <w:r>
        <w:rPr>
          <w:b/>
          <w:bCs/>
        </w:rPr>
        <w:t xml:space="preserve">server</w:t>
      </w:r>
      <w:r>
        <w:t xml:space="preserve"> is deliberately small and untrusted with content: it signs doctor certificates, carries sealed messages, maps LifeTrack IDs to mailboxes, stores encrypted backups and runs the identity-check flow. A shared Dart package, </w:t>
      </w:r>
      <w:r>
        <w:rPr>
          <w:b/>
          <w:bCs/>
        </w:rPr>
        <w:t xml:space="preserve">lifetrack_protocol</w:t>
      </w:r>
      <w:r>
        <w:t xml:space="preserve">,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14625"/>
                    </a:xfrm>
                    <a:prstGeom prst="rect">
                      <a:avLst/>
                    </a:prstGeom>
                  </pic:spPr>
                </pic:pic>
              </a:graphicData>
            </a:graphic>
          </wp:inline>
        </w:drawing>
      </w:r>
    </w:p>
    <w:p>
      <w:pPr>
        <w:spacing w:after="240"/>
        <w:jc w:val="center"/>
      </w:pPr>
      <w:r>
        <w:rPr>
          <w:i/>
          <w:iCs/>
          <w:sz w:val="20"/>
          <w:szCs w:val="20"/>
        </w:rPr>
        <w:t xml:space="preserve">Figure 4.1: System architecture</w:t>
      </w:r>
    </w:p>
    <w:p>
      <w:pPr>
        <w:pStyle w:val="Heading2"/>
      </w:pPr>
      <w:r>
        <w:t xml:space="preserve">4.2 Data flow —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4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w:t>
      </w:r>
      <w:r>
        <w:rPr>
          <w:b/>
          <w:bCs/>
        </w:rPr>
        <w:t xml:space="preserve">AppServices</w:t>
      </w:r>
      <w:r>
        <w:t xml:space="preserve">, the single entry point, and render </w:t>
      </w:r>
      <w:r>
        <w:rPr>
          <w:b/>
          <w:bCs/>
        </w:rPr>
        <w:t xml:space="preserve">Insight</w:t>
      </w:r>
      <w:r>
        <w:t xml:space="preserve"> objects. Any reader other than the patient — on-device insights, a share, the disabled cloud plane — must go through </w:t>
      </w:r>
      <w:r>
        <w:rPr>
          <w:b/>
          <w:bCs/>
        </w:rPr>
        <w:t xml:space="preserve">RecordAccess</w:t>
      </w:r>
      <w:r>
        <w:t xml:space="preserve">, which asks </w:t>
      </w:r>
      <w:r>
        <w:rPr>
          <w:b/>
          <w:bCs/>
        </w:rPr>
        <w:t xml:space="preserve">ConsentStore</w:t>
      </w:r>
      <w:r>
        <w:t xml:space="preserve"> whether a stored grant allows the read and writes an audit entry for every read and every refusal. Below that, </w:t>
      </w:r>
      <w:r>
        <w:rPr>
          <w:b/>
          <w:bCs/>
        </w:rPr>
        <w:t xml:space="preserve">SealedStore</w:t>
      </w:r>
      <w:r>
        <w:t xml:space="preserve"> encrypts every blob and </w:t>
      </w:r>
      <w:r>
        <w:rPr>
          <w:b/>
          <w:bCs/>
        </w:rPr>
        <w:t xml:space="preserve">FileByteStore</w:t>
      </w:r>
      <w:r>
        <w:t xml:space="preserve"> writes it atomically (write to a temporary file, flush, rename).</w:t>
      </w:r>
    </w:p>
    <w:p>
      <w:pPr>
        <w:keepNext/>
        <w:spacing w:before="120"/>
        <w:jc w:val="center"/>
      </w:pPr>
      <w:r>
        <w:drawing>
          <wp:inline distT="0" distB="0" distL="0" distR="0">
            <wp:extent cx="5715000" cy="3181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81350"/>
                    </a:xfrm>
                    <a:prstGeom prst="rect">
                      <a:avLst/>
                    </a:prstGeom>
                  </pic:spPr>
                </pic:pic>
              </a:graphicData>
            </a:graphic>
          </wp:inline>
        </w:drawing>
      </w:r>
    </w:p>
    <w:p>
      <w:pPr>
        <w:spacing w:after="24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 on-device insights (Tier 1).</w:t>
      </w:r>
      <w:r>
        <w:t xml:space="preserve"> Deterministic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resolves the </w:t>
      </w:r>
      <w:r>
        <w:rPr>
          <w:b/>
          <w:bCs/>
        </w:rPr>
        <w:t xml:space="preserve">stored</w:t>
      </w:r>
      <w:r>
        <w:t xml:space="preserve">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w:t>
      </w:r>
      <w:r>
        <w:rPr>
          <w:b/>
          <w:bCs/>
        </w:rPr>
        <w:t xml:space="preserve">actingGrantor()</w:t>
      </w:r>
      <w:r>
        <w:t xml:space="preserve">,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 the level that prevents repeat tests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w:t>
      </w:r>
      <w:r>
        <w:rPr>
          <w:b/>
          <w:bCs/>
        </w:rPr>
        <w:t xml:space="preserve">Patient</w:t>
      </w:r>
      <w:r>
        <w:t xml:space="preserve"> (profile, date of birth, sex, ABHA, role), </w:t>
      </w:r>
      <w:r>
        <w:rPr>
          <w:b/>
          <w:bCs/>
        </w:rPr>
        <w:t xml:space="preserve">Custody</w:t>
      </w:r>
      <w:r>
        <w:t xml:space="preserve"> (who may consent for whom, and the family role), </w:t>
      </w:r>
      <w:r>
        <w:rPr>
          <w:b/>
          <w:bCs/>
        </w:rPr>
        <w:t xml:space="preserve">HealthRecord</w:t>
      </w:r>
      <w:r>
        <w:t xml:space="preserve"> (kind: prescription, report, scan or note; source: typed by patient, smart capture, doctor-issued, restored, lab-signed; provenance badge; test results with the lab’s printed range; medicines with status), </w:t>
      </w:r>
      <w:r>
        <w:rPr>
          <w:b/>
          <w:bCs/>
        </w:rPr>
        <w:t xml:space="preserve">ClinicalProfile</w:t>
      </w:r>
      <w:r>
        <w:t xml:space="preserve"> (allergies, conditions, family illnesses), </w:t>
      </w:r>
      <w:r>
        <w:rPr>
          <w:b/>
          <w:bCs/>
        </w:rPr>
        <w:t xml:space="preserve">VitalReading</w:t>
      </w:r>
      <w:r>
        <w:t xml:space="preserve">, </w:t>
      </w:r>
      <w:r>
        <w:rPr>
          <w:b/>
          <w:bCs/>
        </w:rPr>
        <w:t xml:space="preserve">EmergencyCard</w:t>
      </w:r>
      <w:r>
        <w:t xml:space="preserve"> (fixed, bounded fields), </w:t>
      </w:r>
      <w:r>
        <w:rPr>
          <w:b/>
          <w:bCs/>
        </w:rPr>
        <w:t xml:space="preserve">ConsentToken</w:t>
      </w:r>
      <w:r>
        <w:t xml:space="preserve">, and </w:t>
      </w:r>
      <w:r>
        <w:rPr>
          <w:b/>
          <w:bCs/>
        </w:rPr>
        <w:t xml:space="preserve">AuditEntry</w:t>
      </w:r>
      <w:r>
        <w:t xml:space="preserve">.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19575"/>
                    </a:xfrm>
                    <a:prstGeom prst="rect">
                      <a:avLst/>
                    </a:prstGeom>
                  </pic:spPr>
                </pic:pic>
              </a:graphicData>
            </a:graphic>
          </wp:inline>
        </w:drawing>
      </w:r>
    </w:p>
    <w:p>
      <w:pPr>
        <w:spacing w:after="24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A password chosen by people is the weakest link in any encrypted backup, so LifeTrack </w:t>
      </w:r>
      <w:r>
        <w:rPr>
          <w:b/>
          <w:bCs/>
        </w:rPr>
        <w:t xml:space="preserve">generates</w:t>
      </w:r>
      <w:r>
        <w:t xml:space="preserve">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962275"/>
                    </a:xfrm>
                    <a:prstGeom prst="rect">
                      <a:avLst/>
                    </a:prstGeom>
                  </pic:spPr>
                </pic:pic>
              </a:graphicData>
            </a:graphic>
          </wp:inline>
        </w:drawing>
      </w:r>
    </w:p>
    <w:p>
      <w:pPr>
        <w:spacing w:after="24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w:t>
      </w:r>
      <w:r>
        <w:rPr>
          <w:b/>
          <w:bCs/>
        </w:rPr>
        <w:t xml:space="preserve">Verhoeff</w:t>
      </w:r>
      <w:r>
        <w:t xml:space="preserve"> check digit, which catches every single-digit error and every swap of neighbouring digits. IDs always start with 1, so they can never be confused with an Aadhaar number. The server maps an ID only to a reply mailbox and key — no name, no records — and only the token held on the phone can move or delete it.</w:t>
      </w: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16,083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1,599</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21,687</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7,097</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w:t>
      </w:r>
      <w:r>
        <w:rPr>
          <w:b/>
          <w:bCs/>
        </w:rPr>
        <w:t xml:space="preserve">ai</w:t>
      </w:r>
      <w:r>
        <w:t xml:space="preserve"> (planes A, B, C and the Insight contract), </w:t>
      </w:r>
      <w:r>
        <w:rPr>
          <w:b/>
          <w:bCs/>
        </w:rPr>
        <w:t xml:space="preserve">app</w:t>
      </w:r>
      <w:r>
        <w:t xml:space="preserve"> (AppServices and wiring), </w:t>
      </w:r>
      <w:r>
        <w:rPr>
          <w:b/>
          <w:bCs/>
        </w:rPr>
        <w:t xml:space="preserve">audit</w:t>
      </w:r>
      <w:r>
        <w:t xml:space="preserve">, </w:t>
      </w:r>
      <w:r>
        <w:rPr>
          <w:b/>
          <w:bCs/>
        </w:rPr>
        <w:t xml:space="preserve">capture</w:t>
      </w:r>
      <w:r>
        <w:t xml:space="preserve"> (OCR and image handling), </w:t>
      </w:r>
      <w:r>
        <w:rPr>
          <w:b/>
          <w:bCs/>
        </w:rPr>
        <w:t xml:space="preserve">consent</w:t>
      </w:r>
      <w:r>
        <w:t xml:space="preserve">, </w:t>
      </w:r>
      <w:r>
        <w:rPr>
          <w:b/>
          <w:bCs/>
        </w:rPr>
        <w:t xml:space="preserve">crypto</w:t>
      </w:r>
      <w:r>
        <w:t xml:space="preserve">, </w:t>
      </w:r>
      <w:r>
        <w:rPr>
          <w:b/>
          <w:bCs/>
        </w:rPr>
        <w:t xml:space="preserve">emergency</w:t>
      </w:r>
      <w:r>
        <w:t xml:space="preserve">, </w:t>
      </w:r>
      <w:r>
        <w:rPr>
          <w:b/>
          <w:bCs/>
        </w:rPr>
        <w:t xml:space="preserve">export</w:t>
      </w:r>
      <w:r>
        <w:t xml:space="preserve">, </w:t>
      </w:r>
      <w:r>
        <w:rPr>
          <w:b/>
          <w:bCs/>
        </w:rPr>
        <w:t xml:space="preserve">family</w:t>
      </w:r>
      <w:r>
        <w:t xml:space="preserve">, </w:t>
      </w:r>
      <w:r>
        <w:rPr>
          <w:b/>
          <w:bCs/>
        </w:rPr>
        <w:t xml:space="preserve">identity</w:t>
      </w:r>
      <w:r>
        <w:t xml:space="preserve">, </w:t>
      </w:r>
      <w:r>
        <w:rPr>
          <w:b/>
          <w:bCs/>
        </w:rPr>
        <w:t xml:space="preserve">model</w:t>
      </w:r>
      <w:r>
        <w:t xml:space="preserve">, </w:t>
      </w:r>
      <w:r>
        <w:rPr>
          <w:b/>
          <w:bCs/>
        </w:rPr>
        <w:t xml:space="preserve">reminders</w:t>
      </w:r>
      <w:r>
        <w:t xml:space="preserve">, </w:t>
      </w:r>
      <w:r>
        <w:rPr>
          <w:b/>
          <w:bCs/>
        </w:rPr>
        <w:t xml:space="preserve">security</w:t>
      </w:r>
      <w:r>
        <w:t xml:space="preserve">, </w:t>
      </w:r>
      <w:r>
        <w:rPr>
          <w:b/>
          <w:bCs/>
        </w:rPr>
        <w:t xml:space="preserve">share</w:t>
      </w:r>
      <w:r>
        <w:t xml:space="preserve">, </w:t>
      </w:r>
      <w:r>
        <w:rPr>
          <w:b/>
          <w:bCs/>
        </w:rPr>
        <w:t xml:space="preserve">storage</w:t>
      </w:r>
      <w:r>
        <w:t xml:space="preserve">, </w:t>
      </w:r>
      <w:r>
        <w:rPr>
          <w:b/>
          <w:bCs/>
        </w:rPr>
        <w:t xml:space="preserve">ui</w:t>
      </w:r>
      <w:r>
        <w:t xml:space="preserve">, </w:t>
      </w:r>
      <w:r>
        <w:rPr>
          <w:b/>
          <w:bCs/>
        </w:rPr>
        <w:t xml:space="preserve">vaccines</w:t>
      </w:r>
      <w:r>
        <w:t xml:space="preserve"> and </w:t>
      </w:r>
      <w:r>
        <w:rPr>
          <w:b/>
          <w:bCs/>
        </w:rPr>
        <w:t xml:space="preserve">vault</w:t>
      </w:r>
      <w:r>
        <w:t xml:space="preserve">.</w:t>
      </w:r>
    </w:p>
    <w:p>
      <w:pPr>
        <w:pStyle w:val="Heading2"/>
      </w:pPr>
      <w:r>
        <w:t xml:space="preserve">5.3 Patient app</w:t>
      </w:r>
    </w:p>
    <w:p>
      <w:pPr>
        <w:spacing w:after="160" w:line="360"/>
        <w:jc w:val="both"/>
      </w:pPr>
      <w:r>
        <w:t xml:space="preserve">The app has five tabs — Reminders, Records, Insights, Share and Me — and a family bar at the top for switching between profiles (Figure 5.1).</w:t>
      </w:r>
    </w:p>
    <w:p>
      <w:pPr>
        <w:keepNext/>
        <w:spacing w:before="120"/>
        <w:jc w:val="center"/>
      </w:pPr>
      <w:r>
        <w:drawing>
          <wp:inline distT="0" distB="0" distL="0" distR="0">
            <wp:extent cx="14287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lists today’s medicines from active prescriptions, each with a tick, and the patient’s own reminders.</w:t>
      </w:r>
    </w:p>
    <w:p>
      <w:pPr>
        <w:pStyle w:val="ListParagraph"/>
        <w:numPr>
          <w:ilvl w:val="0"/>
          <w:numId w:val="2"/>
        </w:numPr>
        <w:spacing w:after="80" w:line="340"/>
        <w:jc w:val="both"/>
      </w:pPr>
      <w:r>
        <w:rPr>
          <w:b/>
          <w:bCs/>
        </w:rPr>
        <w:t xml:space="preserve">Records</w:t>
      </w:r>
      <w:r>
        <w:t xml:space="preserve"> shows a searchable timeline filtered by prescriptions, reports and scans, and a “results over time” card per test. Tapping a test opens every result with its laboratory, sample date and the lab’s printed range.</w:t>
      </w:r>
    </w:p>
    <w:p>
      <w:pPr>
        <w:pStyle w:val="ListParagraph"/>
        <w:numPr>
          <w:ilvl w:val="0"/>
          <w:numId w:val="2"/>
        </w:numPr>
        <w:spacing w:after="80" w:line="340"/>
        <w:jc w:val="both"/>
      </w:pPr>
      <w:r>
        <w:rPr>
          <w:b/>
          <w:bCs/>
        </w:rPr>
        <w:t xml:space="preserve">Insights</w:t>
      </w:r>
      <w:r>
        <w:t xml:space="preserve"> explains what the on-device insights do and asks the patient to turn them on for 24 hours. Every read they make appears in the access log.</w:t>
      </w:r>
    </w:p>
    <w:p>
      <w:pPr>
        <w:keepNext/>
        <w:spacing w:before="120"/>
        <w:jc w:val="center"/>
      </w:pP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5.2: Patient app: Share and Me</w:t>
      </w:r>
    </w:p>
    <w:p>
      <w:pPr>
        <w:pStyle w:val="ListParagraph"/>
        <w:numPr>
          <w:ilvl w:val="0"/>
          <w:numId w:val="2"/>
        </w:numPr>
        <w:spacing w:after="80" w:line="340"/>
        <w:jc w:val="both"/>
      </w:pPr>
      <w:r>
        <w:rPr>
          <w:b/>
          <w:bCs/>
        </w:rPr>
        <w:t xml:space="preserve">Share</w:t>
      </w:r>
      <w:r>
        <w:t xml:space="preserve"> offers “Show on my phone” (no network), scanning a doctor’s code,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holds the Emergency ID, ABHA (optional, “not verified”), reminders, backup, the access log, data rights (export and erasure),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in the Android activity. A parser recognises test names, values, units and printed ranges. Any field read with confidence below 0.85 — and every handwritten field — must be ticked or corrected before the patient confirms that the draft matches the report. The original image is kept, encrypted, with the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A child under 18 can be added only as the head’s son or daughter, with consent declared by the parent; sharing for that child stops at 18. An adult may delegate to a custodian in person, and can end it. Adults with their own phones can be </w:t>
      </w:r>
      <w:r>
        <w:rPr>
          <w:b/>
          <w:bCs/>
        </w:rPr>
        <w:t xml:space="preserve">linked</w:t>
      </w:r>
      <w:r>
        <w:t xml:space="preserve">: each may share their Emergency ID and/or current medicine list with the other — both off by default —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Its QR code is plain text so any camera can read it without the internet.</w:t>
      </w:r>
    </w:p>
    <w:p>
      <w:pPr>
        <w:pStyle w:val="Heading2"/>
      </w:pPr>
      <w:r>
        <w:t xml:space="preserve">5.4 Doctor app —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5.3).</w:t>
      </w:r>
    </w:p>
    <w:p>
      <w:pPr>
        <w:keepNext/>
        <w:spacing w:before="120"/>
        <w:jc w:val="center"/>
      </w:pPr>
      <w:r>
        <w:drawing>
          <wp:inline distT="0" distB="0" distL="0" distR="0">
            <wp:extent cx="5334000" cy="3371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5.3: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 medicine, active ingredient, morning-afternoon-night dose, timing relative to food, duration and a note — and signs and sends it (Figure 5.4).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5.4: LifeTrack Clinic: a shared summary and a prescription being written</w:t>
      </w:r>
    </w:p>
    <w:p>
      <w:pPr>
        <w:spacing w:after="160" w:line="360"/>
        <w:jc w:val="both"/>
      </w:pPr>
      <w:r>
        <w:t xml:space="preserve">The app has three tabs: Patients, Prescriptions and Profile. The Profile tab (Figure 5.5)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5.5: LifeTrack Clinic: the Profile tab</w:t>
      </w:r>
    </w:p>
    <w:p>
      <w:pPr>
        <w:pStyle w:val="Heading2"/>
      </w:pPr>
      <w:r>
        <w:t xml:space="preserve">5.5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During development the phone reaches it over USB with </w:t>
      </w:r>
      <w:r>
        <w:rPr>
          <w:rFonts w:ascii="Courier New" w:cs="Courier New" w:eastAsia="Courier New" w:hAnsi="Courier New"/>
          <w:sz w:val="21"/>
          <w:szCs w:val="21"/>
        </w:rPr>
        <w:t xml:space="preserve">adb reverse tcp:8787 tcp:8787</w:t>
      </w:r>
      <w:r>
        <w:t xml:space="preserve">. Data is kept in an owner-only folder: the registry signing key, the admin token, doctor enrolments, the ID map and the backup files.</w:t>
      </w:r>
    </w:p>
    <w:p>
      <w:pPr>
        <w:pStyle w:val="Heading2"/>
      </w:pPr>
      <w:r>
        <w:t xml:space="preserve">5.6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 a feature raises the middle number, a fix the last — and adds a line to the changelog in the same commit. At the time of writing the patient app is at 1.19.0 and the doctor app at 1.8.0 (Appendix A).</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The APK is built obfuscated by a script; the symbol map stays on the developer machine.</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w:t>
      </w:r>
      <w:r>
        <w:rPr>
          <w:b/>
          <w:bCs/>
        </w:rPr>
        <w:t xml:space="preserve">a claim is accepted only if a test can prove it</w:t>
      </w:r>
      <w:r>
        <w:t xml:space="preserve">. Five kinds of tests were written:</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 for example, if any file other than the one network file becomes socket-capable,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5 October 2026 on the current version (patient app 1.19.0,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285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37</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354</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One additional test in the patient app is a tool that renders screens to images for visual review; it runs only when asked to save screenshots and is not counted.</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The share, request-by-ID, prescription and backup flows were exercised by hand, and a medicine reminder was confirmed to fire on the device with names hidden on the lock screen. OCR accuracy has so far been tested mainly on synthetic report images; testing on a wider set of real photographed reports is listed as future work.</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354 tests passing</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During development the team made three deliberate changes:</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instead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proved to be the most valuable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kept and widened: rather than one synthetic dataset, every rule the system promises is written as a test with a known expected result.</w:t>
      </w:r>
    </w:p>
    <w:p>
      <w:pPr>
        <w:pStyle w:val="Heading2"/>
      </w:pPr>
      <w:r>
        <w:t xml:space="preserve">7.3 Discussion</w:t>
      </w:r>
    </w:p>
    <w:p>
      <w:pPr>
        <w:spacing w:after="160" w:line="360"/>
        <w:jc w:val="both"/>
      </w:pPr>
      <w:r>
        <w:t xml:space="preserve">The main lesson of the project is that privacy has to be designed into the structure of the code, not added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honest wording is a requirement. Early screens said the doctor “keeps no copy” and that the server “cannot read” the data. Both were withdrawn: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what lets a doctor reuse a result instead of ordering it again is not access control alone but trust in where the result came from — the laboratory, the sample date, the printed range and the original image. These are shown on every result.</w:t>
      </w: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demonstrates that a patient can hold a complete, useful health record on their own phone and share exactly the right part of it with a verified doctor for a limited time, while the server that carries the data can never read it. The prototype covers the full loop — capture, understanding, sharing, prescribing back, reminders, emergencies, family, backup and export — across a patient app, a doctor app and a server, and every privacy and safety promise it makes is checked by an automated test. All 354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locally (over USB) and has not been deployed on the public internet.</w:t>
      </w:r>
    </w:p>
    <w:p>
      <w:pPr>
        <w:pStyle w:val="Heading2"/>
      </w:pPr>
      <w:r>
        <w:t xml:space="preserve">8.3 Future scope</w:t>
      </w:r>
    </w:p>
    <w:p>
      <w:pPr>
        <w:pStyle w:val="ListParagraph"/>
        <w:numPr>
          <w:ilvl w:val="0"/>
          <w:numId w:val="4"/>
        </w:numPr>
        <w:spacing w:after="80" w:line="340"/>
        <w:jc w:val="both"/>
      </w:pPr>
      <w:r>
        <w:rPr>
          <w:b/>
          <w:bCs/>
        </w:rPr>
        <w:t xml:space="preserve">ABDM / ABHA integration</w:t>
      </w:r>
      <w:r>
        <w:t xml:space="preserve">: verify ABHA, link records as a health information user, and map ABDM consent artefacts as a separate long-lived type.</w:t>
      </w:r>
    </w:p>
    <w:p>
      <w:pPr>
        <w:pStyle w:val="ListParagraph"/>
        <w:numPr>
          <w:ilvl w:val="0"/>
          <w:numId w:val="4"/>
        </w:numPr>
        <w:spacing w:after="80" w:line="340"/>
        <w:jc w:val="both"/>
      </w:pPr>
      <w:r>
        <w:rPr>
          <w:b/>
          <w:bCs/>
        </w:rPr>
        <w:t xml:space="preserve">DigiLocker partner registration</w:t>
      </w:r>
      <w:r>
        <w:t xml:space="preserve"> to replace the practice stand-in.</w:t>
      </w:r>
    </w:p>
    <w:p>
      <w:pPr>
        <w:pStyle w:val="ListParagraph"/>
        <w:numPr>
          <w:ilvl w:val="0"/>
          <w:numId w:val="4"/>
        </w:numPr>
        <w:spacing w:after="80" w:line="340"/>
        <w:jc w:val="both"/>
      </w:pPr>
      <w:r>
        <w:rPr>
          <w:b/>
          <w:bCs/>
        </w:rPr>
        <w:t xml:space="preserve">FHIR R4 export</w:t>
      </w:r>
      <w:r>
        <w:t xml:space="preserve"> of records with Provenance resources.</w:t>
      </w:r>
    </w:p>
    <w:p>
      <w:pPr>
        <w:pStyle w:val="ListParagraph"/>
        <w:numPr>
          <w:ilvl w:val="0"/>
          <w:numId w:val="4"/>
        </w:numPr>
        <w:spacing w:after="80" w:line="340"/>
        <w:jc w:val="both"/>
      </w:pPr>
      <w:r>
        <w:rPr>
          <w:b/>
          <w:bCs/>
        </w:rPr>
        <w:t xml:space="preserve">Hosted deployment</w:t>
      </w:r>
      <w:r>
        <w:t xml:space="preserve"> of the server behind a reverse proxy, with push notifications instead of polling.</w:t>
      </w:r>
    </w:p>
    <w:p>
      <w:pPr>
        <w:pStyle w:val="ListParagraph"/>
        <w:numPr>
          <w:ilvl w:val="0"/>
          <w:numId w:val="4"/>
        </w:numPr>
        <w:spacing w:after="80" w:line="340"/>
        <w:jc w:val="both"/>
      </w:pPr>
      <w:r>
        <w:rPr>
          <w:b/>
          <w:bCs/>
        </w:rPr>
        <w:t xml:space="preserve">iOS support</w:t>
      </w:r>
      <w:r>
        <w:t xml:space="preserve">, including on-device OCR with Apple Vision.</w:t>
      </w:r>
    </w:p>
    <w:p>
      <w:pPr>
        <w:pStyle w:val="ListParagraph"/>
        <w:numPr>
          <w:ilvl w:val="0"/>
          <w:numId w:val="4"/>
        </w:numPr>
        <w:spacing w:after="80" w:line="340"/>
        <w:jc w:val="both"/>
      </w:pPr>
      <w:r>
        <w:rPr>
          <w:b/>
          <w:bCs/>
        </w:rPr>
        <w:t xml:space="preserve">OCR accuracy study</w:t>
      </w:r>
      <w:r>
        <w:t xml:space="preserve"> on real photographed reports from Indian laboratories.</w:t>
      </w:r>
    </w:p>
    <w:p>
      <w:pPr>
        <w:pStyle w:val="ListParagraph"/>
        <w:numPr>
          <w:ilvl w:val="0"/>
          <w:numId w:val="4"/>
        </w:numPr>
        <w:spacing w:after="80" w:line="340"/>
        <w:jc w:val="both"/>
      </w:pPr>
      <w:r>
        <w:rPr>
          <w:b/>
          <w:bCs/>
        </w:rPr>
        <w:t xml:space="preserve">Relative-contributed family history</w:t>
      </w:r>
      <w:r>
        <w:t xml:space="preserve">, with that relative’s own consent per request.</w:t>
      </w:r>
    </w:p>
    <w:p>
      <w:pPr>
        <w:pStyle w:val="ListParagraph"/>
        <w:numPr>
          <w:ilvl w:val="0"/>
          <w:numId w:val="4"/>
        </w:numPr>
        <w:spacing w:after="80" w:line="340"/>
        <w:jc w:val="both"/>
      </w:pPr>
      <w:r>
        <w:rPr>
          <w:b/>
          <w:bCs/>
        </w:rPr>
        <w:t xml:space="preserve">Plane C (Tier 2)</w:t>
      </w:r>
      <w:r>
        <w:t xml:space="preserve"> cloud analysis, only with a certified service and the human-tap safeguards already designed.</w:t>
      </w:r>
    </w:p>
    <w:p>
      <w:pPr>
        <w:pStyle w:val="ListParagraph"/>
        <w:numPr>
          <w:ilvl w:val="0"/>
          <w:numId w:val="4"/>
        </w:numPr>
        <w:spacing w:after="80" w:line="340"/>
        <w:jc w:val="both"/>
      </w:pPr>
      <w:r>
        <w:rPr>
          <w:b/>
          <w:bCs/>
        </w:rPr>
        <w:t xml:space="preserve">Pilot</w:t>
      </w:r>
      <w:r>
        <w:t xml:space="preserve">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server address and registry key; install it with </w:t>
      </w:r>
      <w:r>
        <w:rPr>
          <w:rFonts w:ascii="Courier New" w:cs="Courier New" w:eastAsia="Courier New" w:hAnsi="Courier New"/>
          <w:sz w:val="21"/>
          <w:szCs w:val="21"/>
        </w:rPr>
        <w:t xml:space="preserve">adb install</w:t>
      </w:r>
      <w:r>
        <w:t xml:space="preserve">.</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a317daca580ea3b58bcfeb2e6c35024af80172b.png"/><Relationship Id="rId10" Type="http://schemas.openxmlformats.org/officeDocument/2006/relationships/image" Target="media/d00c79a1bae2dd84edde2ccc885f51eb7a6c0af8.png"/><Relationship Id="rId11" Type="http://schemas.openxmlformats.org/officeDocument/2006/relationships/image" Target="media/a384825bda1fc601f92a3f0790d0c71c067c0d4c.png"/><Relationship Id="rId12" Type="http://schemas.openxmlformats.org/officeDocument/2006/relationships/image" Target="media/3efc32e7d8388fc3e9ec62df49ab4fec61638c56.png"/><Relationship Id="rId13" Type="http://schemas.openxmlformats.org/officeDocument/2006/relationships/image" Target="media/f6d9552019b2d7f090287a1ecd6e756850a7d60a.png"/><Relationship Id="rId14" Type="http://schemas.openxmlformats.org/officeDocument/2006/relationships/image" Target="media/4b124d02ed54619ea4f2ecc365b6cac334c1c089.png"/><Relationship Id="rId15" Type="http://schemas.openxmlformats.org/officeDocument/2006/relationships/image" Target="media/2d18537aaa56407b9771fda06c12bd96042d8775.png"/><Relationship Id="rId16" Type="http://schemas.openxmlformats.org/officeDocument/2006/relationships/image" Target="media/3543878a391550670b5a07341badf858f3ab2733.png"/><Relationship Id="rId17" Type="http://schemas.openxmlformats.org/officeDocument/2006/relationships/image" Target="media/79e27e5f62e241af60b900e9b86a98fd4d72a666.png"/><Relationship Id="rId18" Type="http://schemas.openxmlformats.org/officeDocument/2006/relationships/image" Target="media/0ba611e6b78f4798cde41488a83c63fc38ece44f.png"/><Relationship Id="rId19" Type="http://schemas.openxmlformats.org/officeDocument/2006/relationships/image" Target="media/e5908de545fd4ec30c10260f5b4dc6b6d2145ec7.png"/><Relationship Id="rId20" Type="http://schemas.openxmlformats.org/officeDocument/2006/relationships/image" Target="media/867d2e1d8f2d774f9925e3afb91213727f2d90f8.png"/><Relationship Id="rId21" Type="http://schemas.openxmlformats.org/officeDocument/2006/relationships/image" Target="media/d124c38991c228d320ea1cfd74effa75b32714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 NTCC Project Report</dc:title>
  <dc:creator>LifeTrack Health project team</dc:creator>
  <cp:lastModifiedBy>Un-named</cp:lastModifiedBy>
  <cp:revision>1</cp:revision>
  <dcterms:created xsi:type="dcterms:W3CDTF">2026-10-05T10:24:50.332Z</dcterms:created>
  <dcterms:modified xsi:type="dcterms:W3CDTF">2026-10-05T10:24:50.333Z</dcterms:modified>
</cp:coreProperties>
</file>

<file path=docProps/custom.xml><?xml version="1.0" encoding="utf-8"?>
<Properties xmlns="http://schemas.openxmlformats.org/officeDocument/2006/custom-properties" xmlns:vt="http://schemas.openxmlformats.org/officeDocument/2006/docPropsVTypes"/>
</file>