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54A09">
      <w:pPr>
        <w:pStyle w:val="16"/>
        <w:spacing w:before="0" w:beforeAutospacing="0" w:after="300" w:afterAutospacing="0"/>
        <w:jc w:val="center"/>
        <w:rPr>
          <w:rFonts w:ascii="Calibri" w:hAnsi="Calibri" w:cs="Calibri"/>
          <w:b/>
          <w:bCs/>
          <w:color w:val="000000"/>
        </w:rPr>
      </w:pPr>
      <w:bookmarkStart w:id="1" w:name="_GoBack"/>
      <w:r>
        <w:drawing>
          <wp:inline distT="0" distB="0" distL="0" distR="0">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aveetha logo" title="Saveetha"/>
                    <pic:cNvPicPr>
                      <a:picLocks noChangeAspect="1" noChangeArrowheads="1"/>
                    </pic:cNvPicPr>
                  </pic:nvPicPr>
                  <pic:blipFill>
                    <a:blip r:embed="rId6"/>
                    <a:srcRect/>
                    <a:stretch>
                      <a:fillRect/>
                    </a:stretch>
                  </pic:blipFill>
                  <pic:spPr>
                    <a:xfrm>
                      <a:off x="0" y="0"/>
                      <a:ext cx="5334000" cy="781050"/>
                    </a:xfrm>
                    <a:prstGeom prst="rect">
                      <a:avLst/>
                    </a:prstGeom>
                  </pic:spPr>
                </pic:pic>
              </a:graphicData>
            </a:graphic>
          </wp:inline>
        </w:drawing>
      </w:r>
    </w:p>
    <w:p w14:paraId="62F046BC">
      <w:pPr>
        <w:pStyle w:val="16"/>
        <w:pBdr>
          <w:bottom w:val="single" w:color="000000" w:sz="6" w:space="1"/>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14:paraId="3B6D76FB">
      <w:pPr>
        <w:pStyle w:val="16"/>
        <w:pBdr>
          <w:bottom w:val="single" w:color="000000" w:sz="6" w:space="1"/>
        </w:pBdr>
        <w:spacing w:before="0" w:beforeAutospacing="0" w:after="120" w:afterAutospacing="0"/>
        <w:jc w:val="center"/>
      </w:pPr>
    </w:p>
    <w:p w14:paraId="36D68A04">
      <w:pPr>
        <w:pStyle w:val="16"/>
        <w:spacing w:before="0" w:beforeAutospacing="0" w:after="120" w:afterAutospacing="0"/>
        <w:jc w:val="center"/>
        <w:rPr>
          <w:b/>
          <w:sz w:val="32"/>
        </w:rPr>
      </w:pPr>
      <w:r>
        <w:rPr>
          <w:rFonts w:ascii="Calibri" w:hAnsi="Calibri" w:cs="Calibri"/>
          <w:b/>
          <w:bCs/>
          <w:color w:val="000000"/>
          <w:sz w:val="32"/>
        </w:rPr>
        <w:t>ASSIGNMENT 1 – CO1  </w:t>
      </w:r>
    </w:p>
    <w:p w14:paraId="5F798E9F">
      <w:pPr>
        <w:pStyle w:val="16"/>
        <w:spacing w:before="0" w:beforeAutospacing="0" w:after="120" w:afterAutospacing="0"/>
        <w:jc w:val="center"/>
        <w:rPr>
          <w:b/>
          <w:sz w:val="32"/>
        </w:rPr>
      </w:pPr>
      <w:r>
        <w:rPr>
          <w:rFonts w:ascii="Calibri" w:hAnsi="Calibri" w:cs="Calibri"/>
          <w:b/>
          <w:bCs/>
          <w:color w:val="000000"/>
          <w:sz w:val="32"/>
        </w:rPr>
        <w:t>Design, Analyse and Validate a Cloud-Based Solution for Migrating a Legacy University Management System</w:t>
      </w:r>
    </w:p>
    <w:p w14:paraId="55615B6D">
      <w:pPr>
        <w:pStyle w:val="16"/>
        <w:spacing w:before="0" w:beforeAutospacing="0" w:after="0" w:afterAutospacing="0"/>
        <w:jc w:val="center"/>
      </w:pPr>
      <w:r>
        <w:rPr>
          <w:rFonts w:ascii="Calibri" w:hAnsi="Calibri" w:cs="Calibri"/>
          <w:i/>
          <w:iCs/>
          <w:color w:val="000000"/>
        </w:rPr>
        <w:t>CO1: Apply cloud computing technologies including hardware–software evolution, virtualization, web services, and service models to develop cloud-based solutions.</w:t>
      </w:r>
    </w:p>
    <w:p w14:paraId="12FD537F"/>
    <w:tbl>
      <w:tblPr>
        <w:tblStyle w:val="12"/>
        <w:tblW w:w="0" w:type="auto"/>
        <w:jc w:val="center"/>
        <w:tblLayout w:type="autofit"/>
        <w:tblCellMar>
          <w:top w:w="15" w:type="dxa"/>
          <w:left w:w="15" w:type="dxa"/>
          <w:bottom w:w="15" w:type="dxa"/>
          <w:right w:w="15" w:type="dxa"/>
        </w:tblCellMar>
      </w:tblPr>
      <w:tblGrid>
        <w:gridCol w:w="2279"/>
        <w:gridCol w:w="1902"/>
        <w:gridCol w:w="2774"/>
        <w:gridCol w:w="1809"/>
      </w:tblGrid>
      <w:tr w14:paraId="44087367">
        <w:tblPrEx>
          <w:tblCellMar>
            <w:top w:w="15" w:type="dxa"/>
            <w:left w:w="15" w:type="dxa"/>
            <w:bottom w:w="15" w:type="dxa"/>
            <w:right w:w="15" w:type="dxa"/>
          </w:tblCellMar>
        </w:tblPrEx>
        <w:trPr>
          <w:trHeight w:val="437"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B78DC05">
            <w:pPr>
              <w:pStyle w:val="16"/>
              <w:spacing w:before="0" w:beforeAutospacing="0" w:after="20" w:afterAutospacing="0"/>
            </w:pPr>
            <w:r>
              <w:rPr>
                <w:rFonts w:ascii="Calibri" w:hAnsi="Calibri" w:cs="Calibri"/>
                <w:b/>
                <w:bCs/>
                <w:color w:val="000000"/>
              </w:rPr>
              <w:t>Field</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69D7E17">
            <w:pPr>
              <w:pStyle w:val="16"/>
              <w:spacing w:before="0" w:beforeAutospacing="0" w:after="20" w:afterAutospacing="0"/>
            </w:pPr>
            <w:r>
              <w:rPr>
                <w:rFonts w:ascii="Calibri" w:hAnsi="Calibri" w:cs="Calibri"/>
                <w:b/>
                <w:bCs/>
                <w:color w:val="000000"/>
              </w:rPr>
              <w:t>Details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2FAFCC3">
            <w:pPr>
              <w:pStyle w:val="16"/>
              <w:spacing w:before="0" w:beforeAutospacing="0" w:after="20" w:afterAutospacing="0"/>
            </w:pPr>
            <w:r>
              <w:rPr>
                <w:rFonts w:ascii="Calibri" w:hAnsi="Calibri" w:cs="Calibri"/>
                <w:b/>
                <w:bCs/>
                <w:color w:val="000000"/>
              </w:rPr>
              <w:t>Field</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1BFBED3">
            <w:pPr>
              <w:pStyle w:val="16"/>
              <w:spacing w:before="0" w:beforeAutospacing="0" w:after="20" w:afterAutospacing="0"/>
            </w:pPr>
            <w:r>
              <w:rPr>
                <w:rFonts w:ascii="Calibri" w:hAnsi="Calibri" w:cs="Calibri"/>
                <w:b/>
                <w:bCs/>
                <w:color w:val="000000"/>
              </w:rPr>
              <w:t>Details</w:t>
            </w:r>
          </w:p>
        </w:tc>
      </w:tr>
      <w:tr w14:paraId="32A2E980">
        <w:tblPrEx>
          <w:tblCellMar>
            <w:top w:w="15" w:type="dxa"/>
            <w:left w:w="15" w:type="dxa"/>
            <w:bottom w:w="15" w:type="dxa"/>
            <w:right w:w="15" w:type="dxa"/>
          </w:tblCellMar>
        </w:tblPrEx>
        <w:trPr>
          <w:trHeight w:val="437"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400C97">
            <w:pPr>
              <w:pStyle w:val="16"/>
              <w:spacing w:before="0" w:beforeAutospacing="0" w:after="20" w:afterAutospacing="0"/>
            </w:pPr>
            <w:r>
              <w:rPr>
                <w:rFonts w:ascii="Calibri" w:hAnsi="Calibri" w:cs="Calibri"/>
                <w:color w:val="000000"/>
              </w:rPr>
              <w:t>Student Name</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B2FABFD">
            <w:pPr>
              <w:rPr>
                <w:rFonts w:hint="default"/>
                <w:lang w:val="en-IN"/>
              </w:rPr>
            </w:pPr>
            <w:r>
              <w:rPr>
                <w:rFonts w:hint="default"/>
                <w:lang w:val="en-IN"/>
              </w:rPr>
              <w:t>Vaka Anish Reddy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EE5C60E">
            <w:pPr>
              <w:pStyle w:val="16"/>
              <w:spacing w:before="0" w:beforeAutospacing="0" w:after="20" w:afterAutospacing="0"/>
            </w:pPr>
            <w:r>
              <w:rPr>
                <w:rFonts w:ascii="Calibri" w:hAnsi="Calibri" w:cs="Calibri"/>
                <w:color w:val="000000"/>
              </w:rPr>
              <w:t>Register Number</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FEBC2F5">
            <w:pPr>
              <w:rPr>
                <w:rFonts w:hint="default"/>
                <w:lang w:val="en-IN"/>
              </w:rPr>
            </w:pPr>
            <w:r>
              <w:rPr>
                <w:rFonts w:hint="default"/>
                <w:lang w:val="en-IN"/>
              </w:rPr>
              <w:t>192572055</w:t>
            </w:r>
          </w:p>
        </w:tc>
      </w:tr>
      <w:tr w14:paraId="5751519B">
        <w:tblPrEx>
          <w:tblCellMar>
            <w:top w:w="15" w:type="dxa"/>
            <w:left w:w="15" w:type="dxa"/>
            <w:bottom w:w="15" w:type="dxa"/>
            <w:right w:w="15" w:type="dxa"/>
          </w:tblCellMar>
        </w:tblPrEx>
        <w:trPr>
          <w:trHeight w:val="597"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EE4ABB1">
            <w:pPr>
              <w:pStyle w:val="16"/>
              <w:spacing w:before="0" w:beforeAutospacing="0" w:after="20" w:afterAutospacing="0"/>
            </w:pPr>
            <w:r>
              <w:rPr>
                <w:rFonts w:ascii="Calibri" w:hAnsi="Calibri" w:cs="Calibri"/>
                <w:color w:val="000000"/>
              </w:rPr>
              <w:t>Department / Section</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59B7720">
            <w:pPr>
              <w:rPr>
                <w:rFonts w:hint="default"/>
                <w:lang w:val="en-IN"/>
              </w:rPr>
            </w:pPr>
            <w:r>
              <w:rPr>
                <w:rFonts w:hint="default"/>
                <w:lang w:val="en-IN"/>
              </w:rPr>
              <w:t>CSE(AI)</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35C797">
            <w:pPr>
              <w:pStyle w:val="16"/>
              <w:spacing w:before="0" w:beforeAutospacing="0" w:after="20" w:afterAutospacing="0"/>
            </w:pPr>
            <w:r>
              <w:rPr>
                <w:rFonts w:ascii="Calibri" w:hAnsi="Calibri" w:cs="Calibri"/>
                <w:color w:val="000000"/>
              </w:rPr>
              <w:t>Academic Year / Semester</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36B1D7">
            <w:pPr>
              <w:rPr>
                <w:rFonts w:hint="default"/>
                <w:lang w:val="en-IN"/>
              </w:rPr>
            </w:pPr>
            <w:r>
              <w:rPr>
                <w:rFonts w:hint="default"/>
                <w:lang w:val="en-IN"/>
              </w:rPr>
              <w:t>2026</w:t>
            </w:r>
          </w:p>
        </w:tc>
      </w:tr>
      <w:tr w14:paraId="18CC0DC6">
        <w:tblPrEx>
          <w:tblCellMar>
            <w:top w:w="15" w:type="dxa"/>
            <w:left w:w="15" w:type="dxa"/>
            <w:bottom w:w="15" w:type="dxa"/>
            <w:right w:w="15" w:type="dxa"/>
          </w:tblCellMar>
        </w:tblPrEx>
        <w:trPr>
          <w:trHeight w:val="468"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5B4929B">
            <w:pPr>
              <w:pStyle w:val="16"/>
              <w:spacing w:before="0" w:beforeAutospacing="0" w:after="20" w:afterAutospacing="0"/>
            </w:pPr>
            <w:r>
              <w:rPr>
                <w:rFonts w:ascii="Calibri" w:hAnsi="Calibri" w:cs="Calibri"/>
                <w:color w:val="000000"/>
              </w:rPr>
              <w:t>Faculty Name</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B692258">
            <w:pPr>
              <w:rPr>
                <w:rFonts w:hint="default"/>
                <w:lang w:val="en-IN"/>
              </w:rPr>
            </w:pPr>
            <w:r>
              <w:rPr>
                <w:rFonts w:hint="default"/>
                <w:lang w:val="en-IN"/>
              </w:rPr>
              <w:t>R.Latha</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B57623B">
            <w:pPr>
              <w:pStyle w:val="16"/>
              <w:spacing w:before="0" w:beforeAutospacing="0" w:after="20" w:afterAutospacing="0"/>
            </w:pPr>
            <w:r>
              <w:rPr>
                <w:rFonts w:ascii="Calibri" w:hAnsi="Calibri" w:cs="Calibri"/>
                <w:color w:val="000000"/>
              </w:rPr>
              <w:t>Nature of Assignment</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607097">
            <w:pPr>
              <w:pStyle w:val="16"/>
              <w:spacing w:before="0" w:beforeAutospacing="0" w:after="20" w:afterAutospacing="0"/>
            </w:pPr>
            <w:r>
              <w:rPr>
                <w:rFonts w:ascii="Calibri" w:hAnsi="Calibri" w:cs="Calibri"/>
                <w:color w:val="000000"/>
              </w:rPr>
              <w:t>Individual</w:t>
            </w:r>
          </w:p>
        </w:tc>
      </w:tr>
      <w:tr w14:paraId="4E8551E8">
        <w:tblPrEx>
          <w:tblCellMar>
            <w:top w:w="15" w:type="dxa"/>
            <w:left w:w="15" w:type="dxa"/>
            <w:bottom w:w="15" w:type="dxa"/>
            <w:right w:w="15" w:type="dxa"/>
          </w:tblCellMar>
        </w:tblPrEx>
        <w:trPr>
          <w:trHeight w:val="465"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7393241">
            <w:pPr>
              <w:pStyle w:val="16"/>
              <w:spacing w:before="0" w:beforeAutospacing="0" w:after="20" w:afterAutospacing="0"/>
            </w:pPr>
            <w:r>
              <w:rPr>
                <w:rFonts w:ascii="Calibri" w:hAnsi="Calibri" w:cs="Calibri"/>
                <w:color w:val="000000"/>
              </w:rPr>
              <w:t>Duration</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849D2D7">
            <w:pPr>
              <w:pStyle w:val="16"/>
              <w:spacing w:before="0" w:beforeAutospacing="0" w:after="20" w:afterAutospacing="0"/>
            </w:pPr>
            <w:r>
              <w:rPr>
                <w:rFonts w:ascii="Calibri" w:hAnsi="Calibri" w:cs="Calibri"/>
                <w:color w:val="000000"/>
              </w:rPr>
              <w:t>1 Week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32A32CF">
            <w:pPr>
              <w:pStyle w:val="16"/>
              <w:spacing w:before="0" w:beforeAutospacing="0" w:after="20" w:afterAutospacing="0"/>
            </w:pPr>
            <w:r>
              <w:rPr>
                <w:rFonts w:ascii="Calibri" w:hAnsi="Calibri" w:cs="Calibri"/>
                <w:color w:val="000000"/>
              </w:rPr>
              <w:t>Total Marks</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4EC0B95">
            <w:pPr>
              <w:pStyle w:val="16"/>
              <w:spacing w:before="0" w:beforeAutospacing="0" w:after="20" w:afterAutospacing="0"/>
            </w:pPr>
            <w:r>
              <w:rPr>
                <w:rFonts w:ascii="Calibri" w:hAnsi="Calibri" w:cs="Calibri"/>
                <w:color w:val="000000"/>
              </w:rPr>
              <w:t>50</w:t>
            </w:r>
          </w:p>
        </w:tc>
      </w:tr>
      <w:tr w14:paraId="2DB86368">
        <w:tblPrEx>
          <w:tblCellMar>
            <w:top w:w="15" w:type="dxa"/>
            <w:left w:w="15" w:type="dxa"/>
            <w:bottom w:w="15" w:type="dxa"/>
            <w:right w:w="15" w:type="dxa"/>
          </w:tblCellMar>
        </w:tblPrEx>
        <w:trPr>
          <w:trHeight w:val="437" w:hRule="atLeast"/>
          <w:jc w:val="center"/>
        </w:trPr>
        <w:tc>
          <w:tcPr>
            <w:tcW w:w="22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BA41801">
            <w:pPr>
              <w:pStyle w:val="16"/>
              <w:spacing w:before="0" w:beforeAutospacing="0" w:after="20" w:afterAutospacing="0"/>
            </w:pPr>
            <w:r>
              <w:rPr>
                <w:rFonts w:ascii="Calibri" w:hAnsi="Calibri" w:cs="Calibri"/>
                <w:color w:val="000000"/>
              </w:rPr>
              <w:t>Submission Date</w:t>
            </w:r>
          </w:p>
        </w:tc>
        <w:tc>
          <w:tcPr>
            <w:tcW w:w="19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139DFB1">
            <w:pPr>
              <w:rPr>
                <w:rFonts w:hint="default"/>
                <w:lang w:val="en-IN"/>
              </w:rPr>
            </w:pPr>
            <w:r>
              <w:rPr>
                <w:rFonts w:hint="default"/>
                <w:lang w:val="en-IN"/>
              </w:rPr>
              <w:t>31-10-26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47508E">
            <w:pPr>
              <w:pStyle w:val="16"/>
              <w:spacing w:before="0" w:beforeAutospacing="0" w:after="20" w:afterAutospacing="0"/>
            </w:pPr>
            <w:r>
              <w:rPr>
                <w:rFonts w:ascii="Calibri" w:hAnsi="Calibri" w:cs="Calibri"/>
                <w:color w:val="000000"/>
              </w:rPr>
              <w:t>Evaluation Date</w:t>
            </w:r>
          </w:p>
        </w:tc>
        <w:tc>
          <w:tcPr>
            <w:tcW w:w="180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EEA4DD2">
            <w:pPr>
              <w:rPr>
                <w:rFonts w:hint="default"/>
                <w:lang w:val="en-IN"/>
              </w:rPr>
            </w:pPr>
            <w:r>
              <w:rPr>
                <w:rFonts w:hint="default"/>
                <w:lang w:val="en-IN"/>
              </w:rPr>
              <w:t>31-10-26</w:t>
            </w:r>
          </w:p>
        </w:tc>
      </w:tr>
    </w:tbl>
    <w:p w14:paraId="15CA58D6">
      <w:pPr>
        <w:pStyle w:val="2"/>
        <w:spacing w:before="480" w:after="0"/>
      </w:pPr>
      <w:r>
        <w:rPr>
          <w:rFonts w:ascii="Calibri" w:hAnsi="Calibri" w:cs="Calibri"/>
          <w:color w:val="000000"/>
          <w:sz w:val="24"/>
          <w:szCs w:val="24"/>
        </w:rPr>
        <w:t>MARK SHEET (Rubric-based evaluation)</w:t>
      </w:r>
    </w:p>
    <w:tbl>
      <w:tblPr>
        <w:tblStyle w:val="12"/>
        <w:tblW w:w="0" w:type="auto"/>
        <w:jc w:val="center"/>
        <w:tblLayout w:type="autofit"/>
        <w:tblCellMar>
          <w:top w:w="15" w:type="dxa"/>
          <w:left w:w="15" w:type="dxa"/>
          <w:bottom w:w="15" w:type="dxa"/>
          <w:right w:w="15" w:type="dxa"/>
        </w:tblCellMar>
      </w:tblPr>
      <w:tblGrid>
        <w:gridCol w:w="665"/>
        <w:gridCol w:w="2854"/>
        <w:gridCol w:w="655"/>
        <w:gridCol w:w="1123"/>
        <w:gridCol w:w="3945"/>
      </w:tblGrid>
      <w:tr w14:paraId="4DA9215A">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EBECB3C">
            <w:pPr>
              <w:pStyle w:val="16"/>
              <w:spacing w:before="0" w:beforeAutospacing="0" w:after="20" w:afterAutospacing="0" w:line="0" w:lineRule="atLeast"/>
            </w:pPr>
            <w:r>
              <w:rPr>
                <w:rFonts w:ascii="Calibri" w:hAnsi="Calibri" w:cs="Calibri"/>
                <w:b/>
                <w:bCs/>
                <w:color w:val="000000"/>
              </w:rPr>
              <w:t>Task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88766D5">
            <w:pPr>
              <w:pStyle w:val="16"/>
              <w:spacing w:before="0" w:beforeAutospacing="0" w:after="20" w:afterAutospacing="0" w:line="0" w:lineRule="atLeast"/>
            </w:pPr>
            <w:r>
              <w:rPr>
                <w:rFonts w:ascii="Calibri" w:hAnsi="Calibri" w:cs="Calibri"/>
                <w:b/>
                <w:bCs/>
                <w:color w:val="000000"/>
              </w:rPr>
              <w:t>Title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D80CF66">
            <w:pPr>
              <w:pStyle w:val="16"/>
              <w:spacing w:before="0" w:beforeAutospacing="0" w:after="20" w:afterAutospacing="0" w:line="0" w:lineRule="atLeast"/>
            </w:pPr>
            <w:r>
              <w:rPr>
                <w:rFonts w:ascii="Calibri" w:hAnsi="Calibri" w:cs="Calibri"/>
                <w:b/>
                <w:bCs/>
                <w:color w:val="000000"/>
              </w:rPr>
              <w:t>Max</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1A1439D">
            <w:pPr>
              <w:pStyle w:val="16"/>
              <w:spacing w:before="0" w:beforeAutospacing="0" w:after="20" w:afterAutospacing="0" w:line="0" w:lineRule="atLeast"/>
            </w:pPr>
            <w:r>
              <w:rPr>
                <w:rFonts w:ascii="Calibri" w:hAnsi="Calibri" w:cs="Calibri"/>
                <w:b/>
                <w:bCs/>
                <w:color w:val="000000"/>
              </w:rPr>
              <w:t>Awarded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2ABA36B">
            <w:pPr>
              <w:pStyle w:val="16"/>
              <w:spacing w:before="0" w:beforeAutospacing="0" w:after="20" w:afterAutospacing="0" w:line="0" w:lineRule="atLeast"/>
            </w:pPr>
            <w:r>
              <w:rPr>
                <w:rFonts w:ascii="Calibri" w:hAnsi="Calibri" w:cs="Calibri"/>
                <w:b/>
                <w:bCs/>
                <w:color w:val="000000"/>
              </w:rPr>
              <w:t>Evidence / evaluation focus</w:t>
            </w:r>
          </w:p>
        </w:tc>
      </w:tr>
      <w:tr w14:paraId="175F0AB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C715F98">
            <w:pPr>
              <w:pStyle w:val="16"/>
              <w:spacing w:before="0" w:beforeAutospacing="0" w:after="20" w:afterAutospacing="0" w:line="0" w:lineRule="atLeast"/>
            </w:pPr>
            <w:r>
              <w:rPr>
                <w:rFonts w:ascii="Calibri" w:hAnsi="Calibri" w:cs="Calibri"/>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46D4B9E">
            <w:pPr>
              <w:pStyle w:val="16"/>
              <w:spacing w:before="0" w:beforeAutospacing="0" w:after="20" w:afterAutospacing="0" w:line="0" w:lineRule="atLeast"/>
            </w:pPr>
            <w:r>
              <w:rPr>
                <w:rFonts w:ascii="Calibri" w:hAnsi="Calibri" w:cs="Calibri"/>
                <w:color w:val="000000"/>
              </w:rPr>
              <w:t>Introduce Cloud Computing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FFAE0E9">
            <w:pPr>
              <w:pStyle w:val="16"/>
              <w:spacing w:before="0" w:beforeAutospacing="0" w:after="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69335CA">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8837CFE">
            <w:pPr>
              <w:pStyle w:val="16"/>
              <w:spacing w:before="0" w:beforeAutospacing="0" w:after="20" w:afterAutospacing="0" w:line="0" w:lineRule="atLeast"/>
            </w:pPr>
            <w:r>
              <w:rPr>
                <w:rFonts w:ascii="Calibri" w:hAnsi="Calibri" w:cs="Calibri"/>
                <w:color w:val="000000"/>
              </w:rPr>
              <w:t>Definition; characteristics; deployment models; scenario mapping</w:t>
            </w:r>
          </w:p>
        </w:tc>
      </w:tr>
      <w:tr w14:paraId="3AB2757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42B04A5">
            <w:pPr>
              <w:pStyle w:val="16"/>
              <w:spacing w:before="0" w:beforeAutospacing="0" w:after="20" w:afterAutospacing="0" w:line="0" w:lineRule="atLeast"/>
            </w:pPr>
            <w:r>
              <w:rPr>
                <w:rFonts w:ascii="Calibri" w:hAnsi="Calibri" w:cs="Calibri"/>
                <w:color w:val="000000"/>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15DF293">
            <w:pPr>
              <w:pStyle w:val="16"/>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C2FD9EE">
            <w:pPr>
              <w:pStyle w:val="16"/>
              <w:spacing w:before="0" w:beforeAutospacing="0" w:after="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C841ED">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795D8FF">
            <w:pPr>
              <w:pStyle w:val="16"/>
              <w:spacing w:before="0" w:beforeAutospacing="0" w:after="20" w:afterAutospacing="0" w:line="0" w:lineRule="atLeast"/>
            </w:pPr>
            <w:r>
              <w:rPr>
                <w:rFonts w:ascii="Calibri" w:hAnsi="Calibri" w:cs="Calibri"/>
                <w:color w:val="000000"/>
              </w:rPr>
              <w:t>Timeline; hardware evolution; relevance to university</w:t>
            </w:r>
          </w:p>
        </w:tc>
      </w:tr>
      <w:tr w14:paraId="7A3D252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B5062D7">
            <w:pPr>
              <w:pStyle w:val="16"/>
              <w:spacing w:before="0" w:beforeAutospacing="0" w:after="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5ECB670">
            <w:pPr>
              <w:pStyle w:val="16"/>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51FA28E">
            <w:pPr>
              <w:pStyle w:val="16"/>
              <w:spacing w:before="0" w:beforeAutospacing="0" w:after="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9AC0073">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699ED9B">
            <w:pPr>
              <w:pStyle w:val="16"/>
              <w:spacing w:before="0" w:beforeAutospacing="0" w:after="20" w:afterAutospacing="0" w:line="0" w:lineRule="atLeast"/>
            </w:pPr>
            <w:r>
              <w:rPr>
                <w:rFonts w:ascii="Calibri" w:hAnsi="Calibri" w:cs="Calibri"/>
                <w:color w:val="000000"/>
              </w:rPr>
              <w:t>Web/software evolution; SOA; APIs; scenario relevance</w:t>
            </w:r>
          </w:p>
        </w:tc>
      </w:tr>
      <w:tr w14:paraId="222DD7C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6C64A51">
            <w:pPr>
              <w:pStyle w:val="16"/>
              <w:spacing w:before="0" w:beforeAutospacing="0" w:after="20" w:afterAutospacing="0" w:line="0" w:lineRule="atLeast"/>
            </w:pPr>
            <w:r>
              <w:rPr>
                <w:rFonts w:ascii="Calibri" w:hAnsi="Calibri" w:cs="Calibri"/>
                <w:color w:val="000000"/>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01DCB7C">
            <w:pPr>
              <w:pStyle w:val="16"/>
              <w:spacing w:before="0" w:beforeAutospacing="0" w:after="20" w:afterAutospacing="0" w:line="0" w:lineRule="atLeast"/>
            </w:pPr>
            <w:r>
              <w:rPr>
                <w:rFonts w:ascii="Calibri" w:hAnsi="Calibri" w:cs="Calibri"/>
                <w:color w:val="000000"/>
              </w:rPr>
              <w:t>Apply Server Virtualization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2142785">
            <w:pPr>
              <w:pStyle w:val="16"/>
              <w:spacing w:before="0" w:beforeAutospacing="0" w:after="20" w:afterAutospacing="0" w:line="0" w:lineRule="atLeast"/>
            </w:pPr>
            <w:r>
              <w:rPr>
                <w:rFonts w:ascii="Calibri" w:hAnsi="Calibri" w:cs="Calibri"/>
                <w:color w:val="000000"/>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A3CDA20">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B890267">
            <w:pPr>
              <w:pStyle w:val="16"/>
              <w:spacing w:before="0" w:beforeAutospacing="0" w:after="20" w:afterAutospacing="0" w:line="0" w:lineRule="atLeast"/>
            </w:pPr>
            <w:r>
              <w:rPr>
                <w:rFonts w:ascii="Calibri" w:hAnsi="Calibri" w:cs="Calibri"/>
                <w:color w:val="000000"/>
              </w:rPr>
              <w:t>Hypervisor types; VM/container comparison; consolidation; limitations</w:t>
            </w:r>
          </w:p>
        </w:tc>
      </w:tr>
      <w:tr w14:paraId="533DA01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BC97A8">
            <w:pPr>
              <w:pStyle w:val="16"/>
              <w:spacing w:before="0" w:beforeAutospacing="0" w:after="20" w:afterAutospacing="0" w:line="0" w:lineRule="atLeast"/>
            </w:pPr>
            <w:r>
              <w:rPr>
                <w:rFonts w:ascii="Calibri" w:hAnsi="Calibri" w:cs="Calibri"/>
                <w:color w:val="000000"/>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512ED1D">
            <w:pPr>
              <w:pStyle w:val="16"/>
              <w:spacing w:before="0" w:beforeAutospacing="0" w:after="20" w:afterAutospacing="0" w:line="0" w:lineRule="atLeast"/>
            </w:pPr>
            <w:r>
              <w:rPr>
                <w:rFonts w:ascii="Calibri" w:hAnsi="Calibri" w:cs="Calibri"/>
                <w:color w:val="000000"/>
              </w:rPr>
              <w:t>Apply Web Services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21F2649">
            <w:pPr>
              <w:pStyle w:val="16"/>
              <w:spacing w:before="0" w:beforeAutospacing="0" w:after="20" w:afterAutospacing="0" w:line="0" w:lineRule="atLeast"/>
            </w:pPr>
            <w:r>
              <w:rPr>
                <w:rFonts w:ascii="Calibri" w:hAnsi="Calibri" w:cs="Calibri"/>
                <w:color w:val="000000"/>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00C9390">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D85DB5F">
            <w:pPr>
              <w:pStyle w:val="16"/>
              <w:spacing w:before="0" w:beforeAutospacing="0" w:after="20" w:afterAutospacing="0" w:line="0" w:lineRule="atLeast"/>
            </w:pPr>
            <w:r>
              <w:rPr>
                <w:rFonts w:ascii="Calibri" w:hAnsi="Calibri" w:cs="Calibri"/>
                <w:color w:val="000000"/>
              </w:rPr>
              <w:t>SOA and SOAP/REST; three university APIs; request/response examples</w:t>
            </w:r>
          </w:p>
        </w:tc>
      </w:tr>
      <w:tr w14:paraId="5E93136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E34086B">
            <w:pPr>
              <w:pStyle w:val="16"/>
              <w:spacing w:before="0" w:beforeAutospacing="0" w:after="20" w:afterAutospacing="0" w:line="0" w:lineRule="atLeast"/>
            </w:pPr>
            <w:r>
              <w:rPr>
                <w:rFonts w:ascii="Calibri" w:hAnsi="Calibri" w:cs="Calibri"/>
                <w:color w:val="000000"/>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D33DE31">
            <w:pPr>
              <w:pStyle w:val="16"/>
              <w:spacing w:before="0" w:beforeAutospacing="0" w:after="20" w:afterAutospacing="0" w:line="0" w:lineRule="atLeast"/>
            </w:pPr>
            <w:r>
              <w:rPr>
                <w:rFonts w:ascii="Calibri" w:hAnsi="Calibri" w:cs="Calibri"/>
                <w:color w:val="000000"/>
              </w:rPr>
              <w:t>Analyse IaaS, PaaS and SaaS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9DFD83D">
            <w:pPr>
              <w:pStyle w:val="16"/>
              <w:spacing w:before="0" w:beforeAutospacing="0" w:after="20" w:afterAutospacing="0" w:line="0" w:lineRule="atLeast"/>
            </w:pPr>
            <w:r>
              <w:rPr>
                <w:rFonts w:ascii="Calibri" w:hAnsi="Calibri" w:cs="Calibri"/>
                <w:color w:val="000000"/>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B777F37">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583FC5">
            <w:pPr>
              <w:pStyle w:val="16"/>
              <w:spacing w:before="0" w:beforeAutospacing="0" w:after="20" w:afterAutospacing="0" w:line="0" w:lineRule="atLeast"/>
            </w:pPr>
            <w:r>
              <w:rPr>
                <w:rFonts w:ascii="Calibri" w:hAnsi="Calibri" w:cs="Calibri"/>
                <w:color w:val="000000"/>
              </w:rPr>
              <w:t>Responsibility layers; five-application mapping; comparison; providers</w:t>
            </w:r>
          </w:p>
        </w:tc>
      </w:tr>
      <w:tr w14:paraId="7A5E638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B5D128A">
            <w:pPr>
              <w:pStyle w:val="16"/>
              <w:spacing w:before="0" w:beforeAutospacing="0" w:after="20" w:afterAutospacing="0" w:line="0" w:lineRule="atLeast"/>
            </w:pPr>
            <w:r>
              <w:rPr>
                <w:rFonts w:ascii="Calibri" w:hAnsi="Calibri" w:cs="Calibri"/>
                <w:color w:val="000000"/>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9D1F15">
            <w:pPr>
              <w:pStyle w:val="16"/>
              <w:spacing w:before="0" w:beforeAutospacing="0" w:after="20" w:afterAutospacing="0" w:line="0" w:lineRule="atLeast"/>
            </w:pPr>
            <w:r>
              <w:rPr>
                <w:rFonts w:ascii="Calibri" w:hAnsi="Calibri" w:cs="Calibri"/>
                <w:color w:val="000000"/>
              </w:rPr>
              <w:t>Examine XaaS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2BE587F">
            <w:pPr>
              <w:pStyle w:val="16"/>
              <w:spacing w:before="0" w:beforeAutospacing="0" w:after="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B55E13F">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8AEF0F3">
            <w:pPr>
              <w:pStyle w:val="16"/>
              <w:spacing w:before="0" w:beforeAutospacing="0" w:after="20" w:afterAutospacing="0" w:line="0" w:lineRule="atLeast"/>
            </w:pPr>
            <w:r>
              <w:rPr>
                <w:rFonts w:ascii="Calibri" w:hAnsi="Calibri" w:cs="Calibri"/>
                <w:color w:val="000000"/>
              </w:rPr>
              <w:t>Four or more variants; two justified choices; provider risks</w:t>
            </w:r>
          </w:p>
        </w:tc>
      </w:tr>
      <w:tr w14:paraId="5EB1B46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1E3128">
            <w:pPr>
              <w:pStyle w:val="16"/>
              <w:spacing w:before="0" w:beforeAutospacing="0" w:after="20" w:afterAutospacing="0" w:line="0" w:lineRule="atLeast"/>
            </w:pPr>
            <w:r>
              <w:rPr>
                <w:rFonts w:ascii="Calibri" w:hAnsi="Calibri" w:cs="Calibri"/>
                <w:color w:val="000000"/>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B5074AB">
            <w:pPr>
              <w:pStyle w:val="16"/>
              <w:spacing w:before="0" w:beforeAutospacing="0" w:after="20" w:afterAutospacing="0" w:line="0" w:lineRule="atLeast"/>
            </w:pPr>
            <w:r>
              <w:rPr>
                <w:rFonts w:ascii="Calibri" w:hAnsi="Calibri" w:cs="Calibri"/>
                <w:color w:val="000000"/>
              </w:rPr>
              <w:t>Design Cloud Solution Architecture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898933F">
            <w:pPr>
              <w:pStyle w:val="16"/>
              <w:spacing w:before="0" w:beforeAutospacing="0" w:after="20" w:afterAutospacing="0" w:line="0" w:lineRule="atLeast"/>
            </w:pPr>
            <w:r>
              <w:rPr>
                <w:rFonts w:ascii="Calibri" w:hAnsi="Calibri" w:cs="Calibri"/>
                <w:color w:val="000000"/>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055AA89">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17C0AA9">
            <w:pPr>
              <w:pStyle w:val="16"/>
              <w:spacing w:before="0" w:beforeAutospacing="0" w:after="20" w:afterAutospacing="0" w:line="0" w:lineRule="atLeast"/>
            </w:pPr>
            <w:r>
              <w:rPr>
                <w:rFonts w:ascii="Calibri" w:hAnsi="Calibri" w:cs="Calibri"/>
                <w:color w:val="000000"/>
              </w:rPr>
              <w:t>Labelled diagram; deployment/service models; scaling; security; DR</w:t>
            </w:r>
          </w:p>
        </w:tc>
      </w:tr>
      <w:tr w14:paraId="3EB84DCF">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262F0C4">
            <w:pPr>
              <w:pStyle w:val="16"/>
              <w:spacing w:before="0" w:beforeAutospacing="0" w:after="20" w:afterAutospacing="0" w:line="0" w:lineRule="atLeast"/>
            </w:pPr>
            <w:r>
              <w:rPr>
                <w:rFonts w:ascii="Calibri" w:hAnsi="Calibri" w:cs="Calibri"/>
                <w:color w:val="000000"/>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BB7A21">
            <w:pPr>
              <w:pStyle w:val="16"/>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B48FF2F">
            <w:pPr>
              <w:pStyle w:val="16"/>
              <w:spacing w:before="0" w:beforeAutospacing="0" w:after="20" w:afterAutospacing="0" w:line="0" w:lineRule="atLeast"/>
            </w:pPr>
            <w:r>
              <w:rPr>
                <w:rFonts w:ascii="Calibri" w:hAnsi="Calibri" w:cs="Calibri"/>
                <w:color w:val="000000"/>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A727495">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3EF4F0B">
            <w:pPr>
              <w:pStyle w:val="16"/>
              <w:spacing w:before="0" w:beforeAutospacing="0" w:after="20" w:afterAutospacing="0" w:line="0" w:lineRule="atLeast"/>
            </w:pPr>
            <w:r>
              <w:rPr>
                <w:rFonts w:ascii="Calibri" w:hAnsi="Calibri" w:cs="Calibri"/>
                <w:color w:val="000000"/>
              </w:rPr>
              <w:t>Running VM/container; PaaS/SaaS; tests; actual screenshots</w:t>
            </w:r>
          </w:p>
        </w:tc>
      </w:tr>
      <w:tr w14:paraId="43E059A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F8DDEEF">
            <w:pPr>
              <w:pStyle w:val="16"/>
              <w:spacing w:before="0" w:beforeAutospacing="0" w:after="20" w:afterAutospacing="0" w:line="0" w:lineRule="atLeast"/>
            </w:pPr>
            <w:r>
              <w:rPr>
                <w:rFonts w:ascii="Calibri" w:hAnsi="Calibri" w:cs="Calibri"/>
                <w:color w:val="000000"/>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0AE3D68">
            <w:pPr>
              <w:pStyle w:val="16"/>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7769CAA">
            <w:pPr>
              <w:pStyle w:val="16"/>
              <w:spacing w:before="0" w:beforeAutospacing="0" w:after="20" w:afterAutospacing="0" w:line="0" w:lineRule="atLeast"/>
            </w:pPr>
            <w:r>
              <w:rPr>
                <w:rFonts w:ascii="Calibri" w:hAnsi="Calibri" w:cs="Calibri"/>
                <w:color w:val="000000"/>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C651674">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D1B1ACF">
            <w:pPr>
              <w:pStyle w:val="16"/>
              <w:spacing w:before="0" w:beforeAutospacing="0" w:after="20" w:afterAutospacing="0" w:line="0" w:lineRule="atLeast"/>
            </w:pPr>
            <w:r>
              <w:rPr>
                <w:rFonts w:ascii="Calibri" w:hAnsi="Calibri" w:cs="Calibri"/>
                <w:color w:val="000000"/>
              </w:rPr>
              <w:t>Three-way comparison; 3-year costs; risks; phased roadmap</w:t>
            </w:r>
          </w:p>
        </w:tc>
      </w:tr>
      <w:tr w14:paraId="6A2A53B0">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0DC4F96">
            <w:pPr>
              <w:pStyle w:val="16"/>
              <w:spacing w:before="0" w:beforeAutospacing="0" w:after="20" w:afterAutospacing="0" w:line="0" w:lineRule="atLeast"/>
            </w:pPr>
            <w:r>
              <w:rPr>
                <w:rFonts w:ascii="Calibri" w:hAnsi="Calibri" w:cs="Calibri"/>
                <w:color w:val="000000"/>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EE5E0E4">
            <w:pPr>
              <w:pStyle w:val="16"/>
              <w:spacing w:before="0" w:beforeAutospacing="0" w:after="20" w:afterAutospacing="0" w:line="0" w:lineRule="atLeast"/>
            </w:pPr>
            <w:r>
              <w:rPr>
                <w:rFonts w:ascii="Calibri" w:hAnsi="Calibri" w:cs="Calibri"/>
                <w:color w:val="000000"/>
              </w:rPr>
              <w:t>Day-4 Design Challenge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3F17BE6">
            <w:pPr>
              <w:pStyle w:val="16"/>
              <w:spacing w:before="0" w:beforeAutospacing="0" w:after="20" w:afterAutospacing="0" w:line="0" w:lineRule="atLeast"/>
            </w:pPr>
            <w:r>
              <w:rPr>
                <w:rFonts w:ascii="Calibri" w:hAnsi="Calibri" w:cs="Calibri"/>
                <w:color w:val="000000"/>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22ADDC6">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18AF01D">
            <w:pPr>
              <w:pStyle w:val="16"/>
              <w:spacing w:before="0" w:beforeAutospacing="0" w:after="20" w:afterAutospacing="0" w:line="0" w:lineRule="atLeast"/>
            </w:pPr>
            <w:r>
              <w:rPr>
                <w:rFonts w:ascii="Calibri" w:hAnsi="Calibri" w:cs="Calibri"/>
                <w:color w:val="000000"/>
              </w:rPr>
              <w:t>Impact; evaluation; adaptation; evidence-based defence</w:t>
            </w:r>
          </w:p>
        </w:tc>
      </w:tr>
      <w:tr w14:paraId="5D2DD58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D967E4">
            <w:pPr>
              <w:rPr>
                <w:sz w:val="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7397AE">
            <w:pPr>
              <w:pStyle w:val="16"/>
              <w:spacing w:before="0" w:beforeAutospacing="0" w:after="20" w:afterAutospacing="0" w:line="0" w:lineRule="atLeast"/>
            </w:pPr>
            <w:r>
              <w:rPr>
                <w:rFonts w:ascii="Calibri" w:hAnsi="Calibri" w:cs="Calibri"/>
                <w:b/>
                <w:bCs/>
                <w:color w:val="000000"/>
              </w:rPr>
              <w:t>TOTAL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48EBFD0">
            <w:pPr>
              <w:pStyle w:val="16"/>
              <w:spacing w:before="0" w:beforeAutospacing="0" w:after="20" w:afterAutospacing="0" w:line="0" w:lineRule="atLeast"/>
            </w:pPr>
            <w:r>
              <w:rPr>
                <w:rFonts w:ascii="Calibri" w:hAnsi="Calibri" w:cs="Calibri"/>
                <w:b/>
                <w:bCs/>
                <w:color w:val="000000"/>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3613A9F">
            <w:pPr>
              <w:pStyle w:val="16"/>
              <w:spacing w:before="0" w:beforeAutospacing="0" w:after="20" w:afterAutospacing="0" w:line="0" w:lineRule="atLeast"/>
              <w:jc w:val="cente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412B81D">
            <w:pPr>
              <w:pStyle w:val="16"/>
              <w:spacing w:before="0" w:beforeAutospacing="0" w:after="20" w:afterAutospacing="0" w:line="0" w:lineRule="atLeast"/>
            </w:pPr>
            <w:r>
              <w:rPr>
                <w:rFonts w:ascii="Calibri" w:hAnsi="Calibri" w:cs="Calibri"/>
                <w:b/>
                <w:bCs/>
                <w:color w:val="000000"/>
              </w:rPr>
              <w:t xml:space="preserve">Percentage : </w:t>
            </w:r>
          </w:p>
        </w:tc>
      </w:tr>
    </w:tbl>
    <w:p w14:paraId="426651B9">
      <w:pPr>
        <w:pStyle w:val="2"/>
        <w:spacing w:before="480" w:after="0"/>
      </w:pPr>
      <w:r>
        <w:rPr>
          <w:rFonts w:ascii="Calibri" w:hAnsi="Calibri" w:cs="Calibri"/>
          <w:color w:val="000000"/>
          <w:sz w:val="24"/>
          <w:szCs w:val="24"/>
        </w:rPr>
        <w:t>EVIDENCE VERIFICATION CHECKLIST</w:t>
      </w:r>
    </w:p>
    <w:p w14:paraId="6A59F554"/>
    <w:tbl>
      <w:tblPr>
        <w:tblStyle w:val="12"/>
        <w:tblW w:w="0" w:type="auto"/>
        <w:jc w:val="center"/>
        <w:tblLayout w:type="autofit"/>
        <w:tblCellMar>
          <w:top w:w="15" w:type="dxa"/>
          <w:left w:w="15" w:type="dxa"/>
          <w:bottom w:w="15" w:type="dxa"/>
          <w:right w:w="15" w:type="dxa"/>
        </w:tblCellMar>
      </w:tblPr>
      <w:tblGrid>
        <w:gridCol w:w="760"/>
        <w:gridCol w:w="3835"/>
        <w:gridCol w:w="1277"/>
        <w:gridCol w:w="3370"/>
      </w:tblGrid>
      <w:tr w14:paraId="0DC2507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8259087">
            <w:pPr>
              <w:pStyle w:val="16"/>
              <w:spacing w:before="0" w:beforeAutospacing="0" w:after="20" w:afterAutospacing="0" w:line="0" w:lineRule="atLeast"/>
            </w:pPr>
            <w:r>
              <w:rPr>
                <w:rFonts w:ascii="Calibri" w:hAnsi="Calibri" w:cs="Calibri"/>
                <w:b/>
                <w:bCs/>
                <w:color w:val="000000"/>
              </w:rPr>
              <w:t>Tasks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264BEE">
            <w:pPr>
              <w:pStyle w:val="16"/>
              <w:spacing w:before="0" w:beforeAutospacing="0" w:after="20" w:afterAutospacing="0" w:line="0" w:lineRule="atLeast"/>
            </w:pPr>
            <w:r>
              <w:rPr>
                <w:rFonts w:ascii="Calibri" w:hAnsi="Calibri" w:cs="Calibri"/>
                <w:b/>
                <w:bCs/>
                <w:color w:val="000000"/>
              </w:rPr>
              <w:t>Evidence expected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C3BCED6">
            <w:pPr>
              <w:pStyle w:val="16"/>
              <w:spacing w:before="0" w:beforeAutospacing="0" w:after="20" w:afterAutospacing="0" w:line="0" w:lineRule="atLeast"/>
            </w:pPr>
            <w:r>
              <w:rPr>
                <w:rFonts w:ascii="Calibri" w:hAnsi="Calibri" w:cs="Calibri"/>
                <w:b/>
                <w:bCs/>
                <w:color w:val="000000"/>
              </w:rPr>
              <w:t>Status (</w:t>
            </w:r>
            <w:r>
              <w:rPr>
                <w:rFonts w:hint="eastAsia" w:ascii="MS Gothic" w:hAnsi="MS Gothic" w:eastAsia="MS Gothic" w:cs="MS Gothic"/>
                <w:b/>
                <w:bCs/>
                <w:color w:val="000000"/>
              </w:rPr>
              <w:t>✓</w:t>
            </w:r>
            <w:r>
              <w:rPr>
                <w:rFonts w:ascii="Calibri" w:hAnsi="Calibri" w:cs="Calibri"/>
                <w:b/>
                <w:bCs/>
                <w:color w:val="000000"/>
              </w:rPr>
              <w:t xml:space="preserve"> / P / </w:t>
            </w:r>
            <w:r>
              <w:rPr>
                <w:rFonts w:hint="eastAsia" w:ascii="MS Gothic" w:hAnsi="MS Gothic" w:eastAsia="MS Gothic" w:cs="MS Gothic"/>
                <w:b/>
                <w:bCs/>
                <w:color w:val="000000"/>
              </w:rPr>
              <w:t>✗</w:t>
            </w:r>
            <w:r>
              <w:rPr>
                <w:rFonts w:ascii="Calibri" w:hAnsi="Calibri" w:cs="Calibri"/>
                <w:b/>
                <w:bCs/>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D7ADECE">
            <w:pPr>
              <w:pStyle w:val="16"/>
              <w:spacing w:before="0" w:beforeAutospacing="0" w:after="20" w:afterAutospacing="0" w:line="0" w:lineRule="atLeast"/>
            </w:pPr>
            <w:r>
              <w:rPr>
                <w:rFonts w:ascii="Calibri" w:hAnsi="Calibri" w:cs="Calibri"/>
                <w:b/>
                <w:bCs/>
                <w:color w:val="000000"/>
              </w:rPr>
              <w:t>Evaluator note</w:t>
            </w:r>
          </w:p>
        </w:tc>
      </w:tr>
      <w:tr w14:paraId="50CB68D5">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294BD17">
            <w:pPr>
              <w:pStyle w:val="16"/>
              <w:spacing w:before="0" w:beforeAutospacing="0" w:after="20" w:afterAutospacing="0" w:line="0" w:lineRule="atLeast"/>
            </w:pPr>
            <w:r>
              <w:rPr>
                <w:rFonts w:ascii="Calibri" w:hAnsi="Calibri" w:cs="Calibri"/>
                <w:color w:val="000000"/>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F27047B">
            <w:pPr>
              <w:pStyle w:val="16"/>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6E3B688">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DE3CB4">
            <w:pPr>
              <w:pStyle w:val="16"/>
              <w:spacing w:before="0" w:beforeAutospacing="0" w:after="20" w:afterAutospacing="0" w:line="0" w:lineRule="atLeast"/>
            </w:pPr>
            <w:r>
              <w:rPr>
                <w:rFonts w:ascii="Calibri" w:hAnsi="Calibri" w:cs="Calibri"/>
                <w:color w:val="000000"/>
              </w:rPr>
              <w:t>Explanations and relevant scenario mapping documented</w:t>
            </w:r>
          </w:p>
        </w:tc>
      </w:tr>
      <w:tr w14:paraId="15E5F48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68189FF">
            <w:pPr>
              <w:pStyle w:val="16"/>
              <w:spacing w:before="0" w:beforeAutospacing="0" w:after="20" w:afterAutospacing="0" w:line="0" w:lineRule="atLeast"/>
            </w:pPr>
            <w:r>
              <w:rPr>
                <w:rFonts w:ascii="Calibri" w:hAnsi="Calibri" w:cs="Calibri"/>
                <w:color w:val="000000"/>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97D493">
            <w:pPr>
              <w:pStyle w:val="16"/>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C2FC8C">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5F44FA">
            <w:pPr>
              <w:pStyle w:val="16"/>
              <w:spacing w:before="0" w:beforeAutospacing="0" w:after="20" w:afterAutospacing="0" w:line="0" w:lineRule="atLeast"/>
            </w:pPr>
            <w:r>
              <w:rPr>
                <w:rFonts w:ascii="Calibri" w:hAnsi="Calibri" w:cs="Calibri"/>
                <w:color w:val="000000"/>
              </w:rPr>
              <w:t>Calculations present; practical capacity validation recommended</w:t>
            </w:r>
          </w:p>
        </w:tc>
      </w:tr>
      <w:tr w14:paraId="54B647A7">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1E394DF">
            <w:pPr>
              <w:pStyle w:val="16"/>
              <w:spacing w:before="0" w:beforeAutospacing="0" w:after="20" w:afterAutospacing="0" w:line="0" w:lineRule="atLeast"/>
            </w:pPr>
            <w:r>
              <w:rPr>
                <w:rFonts w:ascii="Calibri" w:hAnsi="Calibri" w:cs="Calibri"/>
                <w:color w:val="000000"/>
              </w:rPr>
              <w:t>5–7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2D30C14">
            <w:pPr>
              <w:pStyle w:val="16"/>
              <w:spacing w:before="0" w:beforeAutospacing="0" w:after="20" w:afterAutospacing="0" w:line="0" w:lineRule="atLeast"/>
            </w:pPr>
            <w:r>
              <w:rPr>
                <w:rFonts w:ascii="Calibri" w:hAnsi="Calibri" w:cs="Calibri"/>
                <w:color w:val="000000"/>
              </w:rPr>
              <w:t>API examples, service responsibility table and justified XaaS choices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582FF4E">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D893B57">
            <w:pPr>
              <w:pStyle w:val="16"/>
              <w:spacing w:before="0" w:beforeAutospacing="0" w:after="20" w:afterAutospacing="0" w:line="0" w:lineRule="atLeast"/>
            </w:pPr>
            <w:r>
              <w:rPr>
                <w:rFonts w:ascii="Calibri" w:hAnsi="Calibri" w:cs="Calibri"/>
                <w:color w:val="000000"/>
              </w:rPr>
              <w:t>Required conceptual evidence documented</w:t>
            </w:r>
          </w:p>
        </w:tc>
      </w:tr>
      <w:tr w14:paraId="5EEEC7E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FE7C3B5">
            <w:pPr>
              <w:pStyle w:val="16"/>
              <w:spacing w:before="0" w:beforeAutospacing="0" w:after="20" w:afterAutospacing="0" w:line="0" w:lineRule="atLeast"/>
            </w:pPr>
            <w:r>
              <w:rPr>
                <w:rFonts w:ascii="Calibri" w:hAnsi="Calibri" w:cs="Calibri"/>
                <w:color w:val="000000"/>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94BE221">
            <w:pPr>
              <w:pStyle w:val="16"/>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F2ECAB4">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1233681">
            <w:pPr>
              <w:pStyle w:val="16"/>
              <w:spacing w:before="0" w:beforeAutospacing="0" w:after="20" w:afterAutospacing="0" w:line="0" w:lineRule="atLeast"/>
            </w:pPr>
            <w:r>
              <w:rPr>
                <w:rFonts w:ascii="Calibri" w:hAnsi="Calibri" w:cs="Calibri"/>
                <w:color w:val="000000"/>
              </w:rPr>
              <w:t>Architecture documented; sizing assumptions need testing</w:t>
            </w:r>
          </w:p>
        </w:tc>
      </w:tr>
      <w:tr w14:paraId="5B8AEDA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977EF58">
            <w:pPr>
              <w:pStyle w:val="16"/>
              <w:spacing w:before="0" w:beforeAutospacing="0" w:after="20" w:afterAutospacing="0" w:line="0" w:lineRule="atLeast"/>
            </w:pPr>
            <w:r>
              <w:rPr>
                <w:rFonts w:ascii="Calibri" w:hAnsi="Calibri" w:cs="Calibri"/>
                <w:color w:val="000000"/>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925B133">
            <w:pPr>
              <w:pStyle w:val="16"/>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60BCE24">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DF00209">
            <w:pPr>
              <w:pStyle w:val="16"/>
              <w:spacing w:before="0" w:beforeAutospacing="0" w:after="20" w:afterAutospacing="0" w:line="0" w:lineRule="atLeast"/>
            </w:pPr>
            <w:r>
              <w:rPr>
                <w:rFonts w:ascii="Calibri" w:hAnsi="Calibri" w:cs="Calibri"/>
                <w:color w:val="000000"/>
              </w:rPr>
              <w:t>Procedures provided; actual execution evidence not established</w:t>
            </w:r>
          </w:p>
        </w:tc>
      </w:tr>
      <w:tr w14:paraId="62EDDC6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BCB3BEF">
            <w:pPr>
              <w:pStyle w:val="16"/>
              <w:spacing w:before="0" w:beforeAutospacing="0" w:after="20" w:afterAutospacing="0" w:line="0" w:lineRule="atLeast"/>
            </w:pPr>
            <w:r>
              <w:rPr>
                <w:rFonts w:ascii="Calibri" w:hAnsi="Calibri" w:cs="Calibri"/>
                <w:color w:val="000000"/>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EC74918">
            <w:pPr>
              <w:pStyle w:val="16"/>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E4BEE90">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20C0A24">
            <w:pPr>
              <w:pStyle w:val="16"/>
              <w:spacing w:before="0" w:beforeAutospacing="0" w:after="20" w:afterAutospacing="0" w:line="0" w:lineRule="atLeast"/>
            </w:pPr>
            <w:r>
              <w:rPr>
                <w:rFonts w:ascii="Calibri" w:hAnsi="Calibri" w:cs="Calibri"/>
                <w:color w:val="000000"/>
              </w:rPr>
              <w:t>Estimates and rationale documented</w:t>
            </w:r>
          </w:p>
        </w:tc>
      </w:tr>
      <w:tr w14:paraId="3784142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A2DF0CD">
            <w:pPr>
              <w:pStyle w:val="16"/>
              <w:spacing w:before="0" w:beforeAutospacing="0" w:after="20" w:afterAutospacing="0" w:line="0" w:lineRule="atLeast"/>
            </w:pPr>
            <w:r>
              <w:rPr>
                <w:rFonts w:ascii="Calibri" w:hAnsi="Calibri" w:cs="Calibri"/>
                <w:color w:val="000000"/>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F7BD2F2">
            <w:pPr>
              <w:pStyle w:val="16"/>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C586C06">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735016A">
            <w:pPr>
              <w:pStyle w:val="16"/>
              <w:spacing w:before="0" w:beforeAutospacing="0" w:after="20" w:afterAutospacing="0" w:line="0" w:lineRule="atLeast"/>
            </w:pPr>
            <w:r>
              <w:rPr>
                <w:rFonts w:ascii="Calibri" w:hAnsi="Calibri" w:cs="Calibri"/>
                <w:color w:val="000000"/>
              </w:rPr>
              <w:t>Design analysis documented; practical validation pending</w:t>
            </w:r>
          </w:p>
        </w:tc>
      </w:tr>
    </w:tbl>
    <w:p w14:paraId="6106E5ED">
      <w:pPr>
        <w:pStyle w:val="2"/>
        <w:spacing w:before="480" w:after="0"/>
      </w:pPr>
      <w:r>
        <w:rPr>
          <w:rFonts w:ascii="Calibri" w:hAnsi="Calibri" w:cs="Calibri"/>
          <w:color w:val="000000"/>
          <w:sz w:val="24"/>
          <w:szCs w:val="24"/>
        </w:rPr>
        <w:t>IMPLEMENTATION EVIDENCE CHAIN </w:t>
      </w:r>
    </w:p>
    <w:p w14:paraId="60AF9E4C"/>
    <w:tbl>
      <w:tblPr>
        <w:tblStyle w:val="12"/>
        <w:tblW w:w="0" w:type="auto"/>
        <w:jc w:val="center"/>
        <w:tblLayout w:type="autofit"/>
        <w:tblCellMar>
          <w:top w:w="15" w:type="dxa"/>
          <w:left w:w="15" w:type="dxa"/>
          <w:bottom w:w="15" w:type="dxa"/>
          <w:right w:w="15" w:type="dxa"/>
        </w:tblCellMar>
      </w:tblPr>
      <w:tblGrid>
        <w:gridCol w:w="1692"/>
        <w:gridCol w:w="822"/>
        <w:gridCol w:w="6728"/>
      </w:tblGrid>
      <w:tr w14:paraId="56F7075A">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58A459">
            <w:pPr>
              <w:pStyle w:val="16"/>
              <w:spacing w:before="0" w:beforeAutospacing="0" w:after="20" w:afterAutospacing="0" w:line="0" w:lineRule="atLeast"/>
            </w:pPr>
            <w:r>
              <w:rPr>
                <w:rFonts w:ascii="Calibri" w:hAnsi="Calibri" w:cs="Calibri"/>
                <w:b/>
                <w:bCs/>
                <w:color w:val="000000"/>
              </w:rPr>
              <w:t>Evidence item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FA5C2E5">
            <w:pPr>
              <w:pStyle w:val="16"/>
              <w:spacing w:before="0" w:beforeAutospacing="0" w:after="20" w:afterAutospacing="0" w:line="0" w:lineRule="atLeast"/>
            </w:pPr>
            <w:r>
              <w:rPr>
                <w:rFonts w:ascii="Calibri" w:hAnsi="Calibri" w:cs="Calibri"/>
                <w:color w:val="000000"/>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532BFDC">
            <w:pPr>
              <w:pStyle w:val="16"/>
              <w:spacing w:before="0" w:beforeAutospacing="0" w:after="20" w:afterAutospacing="0" w:line="0" w:lineRule="atLeast"/>
            </w:pPr>
            <w:r>
              <w:rPr>
                <w:rFonts w:ascii="Calibri" w:hAnsi="Calibri" w:cs="Calibri"/>
                <w:b/>
                <w:bCs/>
                <w:color w:val="000000"/>
              </w:rPr>
              <w:t>Observation</w:t>
            </w:r>
          </w:p>
        </w:tc>
      </w:tr>
      <w:tr w14:paraId="2783054A">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DE1FCE2">
            <w:pPr>
              <w:pStyle w:val="16"/>
              <w:spacing w:before="0" w:beforeAutospacing="0" w:after="20" w:afterAutospacing="0" w:line="0" w:lineRule="atLeast"/>
            </w:pPr>
            <w:r>
              <w:rPr>
                <w:rFonts w:ascii="Calibri" w:hAnsi="Calibri" w:cs="Calibri"/>
                <w:color w:val="000000"/>
              </w:rPr>
              <w:t>Source code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1AF473D">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C4CC087">
            <w:pPr>
              <w:pStyle w:val="16"/>
              <w:spacing w:before="0" w:beforeAutospacing="0" w:after="20" w:afterAutospacing="0" w:line="0" w:lineRule="atLeast"/>
            </w:pPr>
            <w:r>
              <w:rPr>
                <w:rFonts w:ascii="Calibri" w:hAnsi="Calibri" w:cs="Calibri"/>
                <w:color w:val="000000"/>
              </w:rPr>
              <w:t>Flask REST API and Dockerfile provided in the proposed implementation</w:t>
            </w:r>
          </w:p>
        </w:tc>
      </w:tr>
      <w:tr w14:paraId="0036D1D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86EA04D">
            <w:pPr>
              <w:pStyle w:val="16"/>
              <w:spacing w:before="0" w:beforeAutospacing="0" w:after="20" w:afterAutospacing="0" w:line="0" w:lineRule="atLeast"/>
            </w:pPr>
            <w:r>
              <w:rPr>
                <w:rFonts w:ascii="Calibri" w:hAnsi="Calibri" w:cs="Calibri"/>
                <w:color w:val="000000"/>
              </w:rPr>
              <w:t>Virtualization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708A18E">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12AC0E5">
            <w:pPr>
              <w:pStyle w:val="16"/>
              <w:spacing w:before="0" w:beforeAutospacing="0" w:after="20" w:afterAutospacing="0" w:line="0" w:lineRule="atLeast"/>
            </w:pPr>
            <w:r>
              <w:rPr>
                <w:rFonts w:ascii="Calibri" w:hAnsi="Calibri" w:cs="Calibri"/>
                <w:color w:val="000000"/>
              </w:rPr>
              <w:t>Docker container configuration documented; running-container evidence required</w:t>
            </w:r>
          </w:p>
        </w:tc>
      </w:tr>
      <w:tr w14:paraId="59C7A36A">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1D8F08">
            <w:pPr>
              <w:pStyle w:val="16"/>
              <w:spacing w:before="0" w:beforeAutospacing="0" w:after="20" w:afterAutospacing="0" w:line="0" w:lineRule="atLeast"/>
            </w:pPr>
            <w:r>
              <w:rPr>
                <w:rFonts w:ascii="Calibri" w:hAnsi="Calibri" w:cs="Calibri"/>
                <w:color w:val="000000"/>
              </w:rPr>
              <w:t>PaaS or SaaS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0502E5">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24CDD04">
            <w:pPr>
              <w:pStyle w:val="16"/>
              <w:spacing w:before="0" w:beforeAutospacing="0" w:after="20" w:afterAutospacing="0" w:line="0" w:lineRule="atLeast"/>
            </w:pPr>
            <w:r>
              <w:rPr>
                <w:rFonts w:ascii="Calibri" w:hAnsi="Calibri" w:cs="Calibri"/>
                <w:color w:val="000000"/>
              </w:rPr>
              <w:t>Managed web-service deployment procedure described; live deployment not verified</w:t>
            </w:r>
          </w:p>
        </w:tc>
      </w:tr>
      <w:tr w14:paraId="25E0E2D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AD505DB">
            <w:pPr>
              <w:pStyle w:val="16"/>
              <w:spacing w:before="0" w:beforeAutospacing="0" w:after="20" w:afterAutospacing="0" w:line="0" w:lineRule="atLeast"/>
            </w:pPr>
            <w:r>
              <w:rPr>
                <w:rFonts w:ascii="Calibri" w:hAnsi="Calibri" w:cs="Calibri"/>
                <w:color w:val="000000"/>
              </w:rPr>
              <w:t>Functional test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94E8610">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479F60C">
            <w:pPr>
              <w:pStyle w:val="16"/>
              <w:spacing w:before="0" w:beforeAutospacing="0" w:after="20" w:afterAutospacing="0" w:line="0" w:lineRule="atLeast"/>
            </w:pPr>
            <w:r>
              <w:rPr>
                <w:rFonts w:ascii="Calibri" w:hAnsi="Calibri" w:cs="Calibri"/>
                <w:color w:val="000000"/>
              </w:rPr>
              <w:t>Expected HTTP 200 response and JSON output documented; actual output required</w:t>
            </w:r>
          </w:p>
        </w:tc>
      </w:tr>
      <w:tr w14:paraId="7802E22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F6BC3C0">
            <w:pPr>
              <w:pStyle w:val="16"/>
              <w:spacing w:before="0" w:beforeAutospacing="0" w:after="20" w:afterAutospacing="0" w:line="0" w:lineRule="atLeast"/>
            </w:pPr>
            <w:r>
              <w:rPr>
                <w:rFonts w:ascii="Calibri" w:hAnsi="Calibri" w:cs="Calibri"/>
                <w:color w:val="000000"/>
              </w:rPr>
              <w:t>Failure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416E93">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D3BBE5D">
            <w:pPr>
              <w:pStyle w:val="16"/>
              <w:spacing w:before="0" w:beforeAutospacing="0" w:after="20" w:afterAutospacing="0" w:line="0" w:lineRule="atLeast"/>
            </w:pPr>
            <w:r>
              <w:rPr>
                <w:rFonts w:ascii="Calibri" w:hAnsi="Calibri" w:cs="Calibri"/>
                <w:color w:val="000000"/>
              </w:rPr>
              <w:t>HTTP 404 test case documented; actual execution record required</w:t>
            </w:r>
          </w:p>
        </w:tc>
      </w:tr>
      <w:tr w14:paraId="5A3806C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1A9FF01">
            <w:pPr>
              <w:pStyle w:val="16"/>
              <w:spacing w:before="0" w:beforeAutospacing="0" w:after="20" w:afterAutospacing="0" w:line="0" w:lineRule="atLeast"/>
            </w:pPr>
            <w:r>
              <w:rPr>
                <w:rFonts w:ascii="Calibri" w:hAnsi="Calibri" w:cs="Calibri"/>
                <w:color w:val="000000"/>
              </w:rPr>
              <w:t>Screenshots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1A89C50">
            <w:pPr>
              <w:pStyle w:val="16"/>
              <w:spacing w:before="0" w:beforeAutospacing="0" w:after="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C815F77">
            <w:pPr>
              <w:pStyle w:val="16"/>
              <w:spacing w:before="0" w:beforeAutospacing="0" w:after="20" w:afterAutospacing="0" w:line="0" w:lineRule="atLeast"/>
            </w:pPr>
            <w:r>
              <w:rPr>
                <w:rFonts w:ascii="Calibri" w:hAnsi="Calibri" w:cs="Calibri"/>
                <w:color w:val="000000"/>
              </w:rPr>
              <w:t>Screenshot requirements identified; authentic screenshots need verification</w:t>
            </w:r>
          </w:p>
        </w:tc>
      </w:tr>
      <w:tr w14:paraId="68742A1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26838F6">
            <w:pPr>
              <w:pStyle w:val="16"/>
              <w:spacing w:before="0" w:beforeAutospacing="0" w:after="20" w:afterAutospacing="0" w:line="0" w:lineRule="atLeast"/>
            </w:pPr>
            <w:r>
              <w:rPr>
                <w:rFonts w:ascii="Calibri" w:hAnsi="Calibri" w:cs="Calibri"/>
                <w:color w:val="000000"/>
              </w:rPr>
              <w:t>Reproducibility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35E1234">
            <w:pPr>
              <w:pStyle w:val="16"/>
              <w:spacing w:before="0" w:beforeAutospacing="0" w:after="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AED30C1">
            <w:pPr>
              <w:pStyle w:val="16"/>
              <w:spacing w:before="0" w:beforeAutospacing="0" w:after="20" w:afterAutospacing="0" w:line="0" w:lineRule="atLeast"/>
            </w:pPr>
            <w:r>
              <w:rPr>
                <w:rFonts w:ascii="Calibri" w:hAnsi="Calibri" w:cs="Calibri"/>
                <w:color w:val="000000"/>
              </w:rPr>
              <w:t>Build commands, run commands, endpoints and expected results specified</w:t>
            </w:r>
          </w:p>
        </w:tc>
      </w:tr>
    </w:tbl>
    <w:p w14:paraId="4B8077BF">
      <w:pPr>
        <w:pStyle w:val="2"/>
        <w:spacing w:before="480" w:after="0"/>
        <w:rPr>
          <w:rFonts w:ascii="Calibri" w:hAnsi="Calibri" w:cs="Calibri"/>
          <w:b/>
          <w:color w:val="000000"/>
          <w:sz w:val="24"/>
          <w:szCs w:val="24"/>
        </w:rPr>
      </w:pPr>
      <w:r>
        <w:rPr>
          <w:rFonts w:ascii="Calibri" w:hAnsi="Calibri" w:cs="Calibri"/>
          <w:b/>
          <w:color w:val="000000"/>
          <w:sz w:val="24"/>
          <w:szCs w:val="24"/>
        </w:rPr>
        <w:t>OVERALL REMARKS</w:t>
      </w:r>
    </w:p>
    <w:p w14:paraId="3526C65A"/>
    <w:p w14:paraId="2B942D29"/>
    <w:p w14:paraId="6E9535CA"/>
    <w:p w14:paraId="6D3D738D"/>
    <w:p w14:paraId="6986DB16"/>
    <w:p w14:paraId="758FC65D"/>
    <w:p w14:paraId="27B9C2CA"/>
    <w:p w14:paraId="1C729388"/>
    <w:p w14:paraId="72927B34"/>
    <w:p w14:paraId="788D7FEF"/>
    <w:p w14:paraId="6771F260"/>
    <w:p w14:paraId="594BCCAD"/>
    <w:p w14:paraId="32DD6FEE"/>
    <w:p w14:paraId="7AD6F299"/>
    <w:p w14:paraId="2325C966"/>
    <w:p w14:paraId="7BAC2498"/>
    <w:p w14:paraId="1604D38E"/>
    <w:p w14:paraId="3BB6A58D"/>
    <w:p w14:paraId="68F9EB63"/>
    <w:p w14:paraId="56C814A6"/>
    <w:p w14:paraId="54CCFC6B"/>
    <w:p w14:paraId="56FC8616"/>
    <w:p w14:paraId="30B0E571"/>
    <w:p w14:paraId="0D5EE5AA"/>
    <w:p w14:paraId="0C9D546C"/>
    <w:p w14:paraId="0ABC666A"/>
    <w:p w14:paraId="78B1A64E"/>
    <w:p w14:paraId="5245E835">
      <w:pPr>
        <w:jc w:val="both"/>
      </w:pPr>
    </w:p>
    <w:p w14:paraId="5EEA2C6B"/>
    <w:p w14:paraId="58B6E5AD"/>
    <w:p w14:paraId="5234BDA2"/>
    <w:p w14:paraId="4C5BE1E4"/>
    <w:p w14:paraId="196C4523"/>
    <w:p w14:paraId="69A517A5"/>
    <w:p w14:paraId="7D88FD2A"/>
    <w:p w14:paraId="0B652780"/>
    <w:p w14:paraId="741BD14B"/>
    <w:p w14:paraId="6A392504"/>
    <w:tbl>
      <w:tblPr>
        <w:tblStyle w:val="12"/>
        <w:tblW w:w="9642" w:type="dxa"/>
        <w:tblInd w:w="0" w:type="dxa"/>
        <w:tblLayout w:type="autofit"/>
        <w:tblCellMar>
          <w:top w:w="15" w:type="dxa"/>
          <w:left w:w="15" w:type="dxa"/>
          <w:bottom w:w="15" w:type="dxa"/>
          <w:right w:w="15" w:type="dxa"/>
        </w:tblCellMar>
      </w:tblPr>
      <w:tblGrid>
        <w:gridCol w:w="3214"/>
        <w:gridCol w:w="3214"/>
        <w:gridCol w:w="3214"/>
      </w:tblGrid>
      <w:tr w14:paraId="1F68B5F9">
        <w:tblPrEx>
          <w:tblCellMar>
            <w:top w:w="15" w:type="dxa"/>
            <w:left w:w="15" w:type="dxa"/>
            <w:bottom w:w="15" w:type="dxa"/>
            <w:right w:w="15" w:type="dxa"/>
          </w:tblCellMar>
        </w:tblPrEx>
        <w:trPr>
          <w:trHeight w:val="8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BF7F4AB"/>
          <w:p w14:paraId="02722C93">
            <w:pPr>
              <w:pStyle w:val="16"/>
              <w:spacing w:before="0" w:beforeAutospacing="0" w:after="20" w:afterAutospacing="0"/>
              <w:jc w:val="center"/>
            </w:pPr>
            <w:r>
              <w:rPr>
                <w:rFonts w:ascii="Calibri" w:hAnsi="Calibri" w:cs="Calibri"/>
                <w:b/>
                <w:bCs/>
                <w:color w:val="000000"/>
              </w:rPr>
              <w:t>_______________</w:t>
            </w:r>
          </w:p>
          <w:p w14:paraId="7124BED1">
            <w:pPr>
              <w:pStyle w:val="16"/>
              <w:spacing w:before="0" w:beforeAutospacing="0" w:after="20" w:afterAutospacing="0"/>
              <w:jc w:val="center"/>
            </w:pPr>
            <w:r>
              <w:rPr>
                <w:rFonts w:ascii="Calibri" w:hAnsi="Calibri" w:cs="Calibri"/>
                <w:b/>
                <w:bCs/>
                <w:color w:val="000000"/>
              </w:rPr>
              <w:t>Student Signature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9B959B5"/>
          <w:p w14:paraId="46B33006">
            <w:pPr>
              <w:pStyle w:val="16"/>
              <w:spacing w:before="0" w:beforeAutospacing="0" w:after="20" w:afterAutospacing="0"/>
              <w:jc w:val="center"/>
            </w:pPr>
            <w:r>
              <w:rPr>
                <w:rFonts w:ascii="Calibri" w:hAnsi="Calibri" w:cs="Calibri"/>
                <w:b/>
                <w:bCs/>
                <w:color w:val="000000"/>
              </w:rPr>
              <w:t>_______________</w:t>
            </w:r>
          </w:p>
          <w:p w14:paraId="634623A7">
            <w:pPr>
              <w:pStyle w:val="16"/>
              <w:spacing w:before="0" w:beforeAutospacing="0" w:after="20" w:afterAutospacing="0"/>
              <w:jc w:val="center"/>
            </w:pPr>
            <w:r>
              <w:rPr>
                <w:rFonts w:ascii="Calibri" w:hAnsi="Calibri" w:cs="Calibri"/>
                <w:b/>
                <w:bCs/>
                <w:color w:val="000000"/>
              </w:rPr>
              <w:t>Faculty Signature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4D2B6D4"/>
          <w:p w14:paraId="72BCB1D6">
            <w:pPr>
              <w:pStyle w:val="16"/>
              <w:spacing w:before="0" w:beforeAutospacing="0" w:after="20" w:afterAutospacing="0"/>
              <w:jc w:val="center"/>
            </w:pPr>
            <w:r>
              <w:rPr>
                <w:rFonts w:ascii="Calibri" w:hAnsi="Calibri" w:cs="Calibri"/>
                <w:b/>
                <w:bCs/>
                <w:color w:val="000000"/>
              </w:rPr>
              <w:t>_______________</w:t>
            </w:r>
          </w:p>
          <w:p w14:paraId="4BFF623E">
            <w:pPr>
              <w:pStyle w:val="16"/>
              <w:spacing w:before="0" w:beforeAutospacing="0" w:after="20" w:afterAutospacing="0"/>
              <w:jc w:val="center"/>
            </w:pPr>
            <w:r>
              <w:rPr>
                <w:rFonts w:ascii="Calibri" w:hAnsi="Calibri" w:cs="Calibri"/>
                <w:b/>
                <w:bCs/>
                <w:color w:val="000000"/>
              </w:rPr>
              <w:t>Program Director</w:t>
            </w:r>
          </w:p>
        </w:tc>
      </w:tr>
    </w:tbl>
    <w:p w14:paraId="6D315923">
      <w:pPr>
        <w:pStyle w:val="16"/>
        <w:spacing w:before="0" w:beforeAutospacing="0" w:after="120" w:afterAutospacing="0"/>
      </w:pPr>
      <w:r>
        <w:rPr>
          <w:rFonts w:ascii="Calibri" w:hAnsi="Calibri" w:cs="Calibri"/>
          <w:b/>
          <w:bCs/>
          <w:color w:val="000000"/>
        </w:rPr>
        <w:t>MANDATORY SUBMISSION EVIDENCE CHECK</w:t>
      </w:r>
    </w:p>
    <w:p w14:paraId="193584B6">
      <w:pPr>
        <w:pStyle w:val="16"/>
        <w:spacing w:before="0" w:beforeAutospacing="0" w:after="120" w:afterAutospacing="0"/>
      </w:pPr>
      <w:r>
        <w:rPr>
          <w:rFonts w:hint="eastAsia" w:ascii="MS Gothic" w:hAnsi="MS Gothic" w:eastAsia="MS Gothic" w:cs="MS Gothic"/>
          <w:color w:val="000000"/>
        </w:rPr>
        <w:t>✓</w:t>
      </w:r>
      <w:r>
        <w:rPr>
          <w:rFonts w:ascii="Calibri" w:hAnsi="Calibri" w:cs="Calibri"/>
          <w:color w:val="000000"/>
        </w:rPr>
        <w:t xml:space="preserve"> = Present in documented answer; P = Partly present; </w:t>
      </w:r>
      <w:r>
        <w:rPr>
          <w:rFonts w:hint="eastAsia" w:ascii="MS Gothic" w:hAnsi="MS Gothic" w:eastAsia="MS Gothic" w:cs="MS Gothic"/>
          <w:color w:val="000000"/>
        </w:rPr>
        <w:t>✗</w:t>
      </w:r>
      <w:r>
        <w:rPr>
          <w:rFonts w:ascii="Calibri" w:hAnsi="Calibri" w:cs="Calibri"/>
          <w:color w:val="000000"/>
        </w:rPr>
        <w:t xml:space="preserve"> = Missing / not satisfied</w:t>
      </w:r>
    </w:p>
    <w:tbl>
      <w:tblPr>
        <w:tblStyle w:val="12"/>
        <w:tblW w:w="0" w:type="auto"/>
        <w:tblInd w:w="0" w:type="dxa"/>
        <w:tblLayout w:type="autofit"/>
        <w:tblCellMar>
          <w:top w:w="15" w:type="dxa"/>
          <w:left w:w="15" w:type="dxa"/>
          <w:bottom w:w="15" w:type="dxa"/>
          <w:right w:w="15" w:type="dxa"/>
        </w:tblCellMar>
      </w:tblPr>
      <w:tblGrid>
        <w:gridCol w:w="479"/>
        <w:gridCol w:w="3811"/>
        <w:gridCol w:w="653"/>
        <w:gridCol w:w="4113"/>
      </w:tblGrid>
      <w:tr w14:paraId="58396B8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3530EA4C">
            <w:pPr>
              <w:pStyle w:val="16"/>
              <w:spacing w:before="0" w:beforeAutospacing="0" w:after="120" w:afterAutospacing="0" w:line="0" w:lineRule="atLeast"/>
            </w:pPr>
            <w:r>
              <w:rPr>
                <w:rFonts w:ascii="Calibri" w:hAnsi="Calibri" w:cs="Calibri"/>
                <w:b/>
                <w:bCs/>
                <w:color w:val="000000"/>
              </w:rPr>
              <w:t>Task</w:t>
            </w:r>
          </w:p>
        </w:tc>
        <w:tc>
          <w:tcPr>
            <w:tcW w:w="0" w:type="auto"/>
            <w:tcBorders>
              <w:top w:val="single" w:color="000000" w:sz="4" w:space="0"/>
              <w:left w:val="single" w:color="000000" w:sz="4" w:space="0"/>
              <w:bottom w:val="single" w:color="000000" w:sz="4" w:space="0"/>
              <w:right w:val="single" w:color="000000" w:sz="4" w:space="0"/>
            </w:tcBorders>
            <w:vAlign w:val="center"/>
          </w:tcPr>
          <w:p w14:paraId="30993795">
            <w:pPr>
              <w:pStyle w:val="16"/>
              <w:spacing w:before="0" w:beforeAutospacing="0" w:after="120" w:afterAutospacing="0" w:line="0" w:lineRule="atLeast"/>
            </w:pPr>
            <w:r>
              <w:rPr>
                <w:rFonts w:ascii="Calibri" w:hAnsi="Calibri" w:cs="Calibri"/>
                <w:b/>
                <w:bCs/>
                <w:color w:val="000000"/>
              </w:rPr>
              <w:t>Evidence expected</w:t>
            </w:r>
          </w:p>
        </w:tc>
        <w:tc>
          <w:tcPr>
            <w:tcW w:w="0" w:type="auto"/>
            <w:tcBorders>
              <w:top w:val="single" w:color="000000" w:sz="4" w:space="0"/>
              <w:left w:val="single" w:color="000000" w:sz="4" w:space="0"/>
              <w:bottom w:val="single" w:color="000000" w:sz="4" w:space="0"/>
              <w:right w:val="single" w:color="000000" w:sz="4" w:space="0"/>
            </w:tcBorders>
            <w:vAlign w:val="center"/>
          </w:tcPr>
          <w:p w14:paraId="00F61E08">
            <w:pPr>
              <w:pStyle w:val="16"/>
              <w:spacing w:before="0" w:beforeAutospacing="0" w:after="120" w:afterAutospacing="0" w:line="0" w:lineRule="atLeast"/>
            </w:pPr>
            <w:r>
              <w:rPr>
                <w:rFonts w:ascii="Calibri" w:hAnsi="Calibri" w:cs="Calibri"/>
                <w:b/>
                <w:bCs/>
                <w:color w:val="000000"/>
              </w:rPr>
              <w:t>Status</w:t>
            </w:r>
          </w:p>
        </w:tc>
        <w:tc>
          <w:tcPr>
            <w:tcW w:w="0" w:type="auto"/>
            <w:tcBorders>
              <w:top w:val="single" w:color="000000" w:sz="4" w:space="0"/>
              <w:left w:val="single" w:color="000000" w:sz="4" w:space="0"/>
              <w:bottom w:val="single" w:color="000000" w:sz="4" w:space="0"/>
              <w:right w:val="single" w:color="000000" w:sz="4" w:space="0"/>
            </w:tcBorders>
            <w:vAlign w:val="center"/>
          </w:tcPr>
          <w:p w14:paraId="7CEAD6A5">
            <w:pPr>
              <w:pStyle w:val="16"/>
              <w:spacing w:before="0" w:beforeAutospacing="0" w:after="120" w:afterAutospacing="0" w:line="0" w:lineRule="atLeast"/>
            </w:pPr>
            <w:r>
              <w:rPr>
                <w:rFonts w:ascii="Calibri" w:hAnsi="Calibri" w:cs="Calibri"/>
                <w:b/>
                <w:bCs/>
                <w:color w:val="000000"/>
              </w:rPr>
              <w:t>Evaluator note</w:t>
            </w:r>
          </w:p>
        </w:tc>
      </w:tr>
      <w:tr w14:paraId="4D37D92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DE01675">
            <w:pPr>
              <w:pStyle w:val="16"/>
              <w:spacing w:before="0" w:beforeAutospacing="0" w:after="120" w:afterAutospacing="0" w:line="0" w:lineRule="atLeast"/>
            </w:pPr>
            <w:r>
              <w:rPr>
                <w:rFonts w:ascii="Calibri" w:hAnsi="Calibri" w:cs="Calibri"/>
                <w:color w:val="000000"/>
              </w:rPr>
              <w:t>1</w:t>
            </w:r>
          </w:p>
        </w:tc>
        <w:tc>
          <w:tcPr>
            <w:tcW w:w="0" w:type="auto"/>
            <w:tcBorders>
              <w:top w:val="single" w:color="000000" w:sz="4" w:space="0"/>
              <w:left w:val="single" w:color="000000" w:sz="4" w:space="0"/>
              <w:bottom w:val="single" w:color="000000" w:sz="4" w:space="0"/>
              <w:right w:val="single" w:color="000000" w:sz="4" w:space="0"/>
            </w:tcBorders>
            <w:vAlign w:val="center"/>
          </w:tcPr>
          <w:p w14:paraId="08CA4140">
            <w:pPr>
              <w:pStyle w:val="16"/>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color="000000" w:sz="4" w:space="0"/>
              <w:left w:val="single" w:color="000000" w:sz="4" w:space="0"/>
              <w:bottom w:val="single" w:color="000000" w:sz="4" w:space="0"/>
              <w:right w:val="single" w:color="000000" w:sz="4" w:space="0"/>
            </w:tcBorders>
            <w:vAlign w:val="center"/>
          </w:tcPr>
          <w:p w14:paraId="5235F74F">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7B5D8157">
            <w:pPr>
              <w:pStyle w:val="16"/>
              <w:spacing w:before="0" w:beforeAutospacing="0" w:after="120" w:afterAutospacing="0" w:line="0" w:lineRule="atLeast"/>
            </w:pPr>
            <w:r>
              <w:rPr>
                <w:rFonts w:ascii="Calibri" w:hAnsi="Calibri" w:cs="Calibri"/>
                <w:color w:val="000000"/>
              </w:rPr>
              <w:t>All conceptual requirements covered</w:t>
            </w:r>
          </w:p>
        </w:tc>
      </w:tr>
      <w:tr w14:paraId="653BED0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2933C7B">
            <w:pPr>
              <w:pStyle w:val="16"/>
              <w:spacing w:before="0" w:beforeAutospacing="0" w:after="120" w:afterAutospacing="0" w:line="0" w:lineRule="atLeast"/>
            </w:pPr>
            <w:r>
              <w:rPr>
                <w:rFonts w:ascii="Calibri" w:hAnsi="Calibri" w:cs="Calibri"/>
                <w:color w:val="000000"/>
              </w:rPr>
              <w:t>2</w:t>
            </w:r>
          </w:p>
        </w:tc>
        <w:tc>
          <w:tcPr>
            <w:tcW w:w="0" w:type="auto"/>
            <w:tcBorders>
              <w:top w:val="single" w:color="000000" w:sz="4" w:space="0"/>
              <w:left w:val="single" w:color="000000" w:sz="4" w:space="0"/>
              <w:bottom w:val="single" w:color="000000" w:sz="4" w:space="0"/>
              <w:right w:val="single" w:color="000000" w:sz="4" w:space="0"/>
            </w:tcBorders>
            <w:vAlign w:val="center"/>
          </w:tcPr>
          <w:p w14:paraId="1584302D">
            <w:pPr>
              <w:pStyle w:val="16"/>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color="000000" w:sz="4" w:space="0"/>
              <w:left w:val="single" w:color="000000" w:sz="4" w:space="0"/>
              <w:bottom w:val="single" w:color="000000" w:sz="4" w:space="0"/>
              <w:right w:val="single" w:color="000000" w:sz="4" w:space="0"/>
            </w:tcBorders>
            <w:vAlign w:val="center"/>
          </w:tcPr>
          <w:p w14:paraId="0B38DAA2">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1F2839BE">
            <w:pPr>
              <w:pStyle w:val="16"/>
              <w:spacing w:before="0" w:beforeAutospacing="0" w:after="120" w:afterAutospacing="0" w:line="0" w:lineRule="atLeast"/>
            </w:pPr>
            <w:r>
              <w:rPr>
                <w:rFonts w:ascii="Calibri" w:hAnsi="Calibri" w:cs="Calibri"/>
                <w:color w:val="000000"/>
              </w:rPr>
              <w:t>Well explained with relevant examples</w:t>
            </w:r>
          </w:p>
        </w:tc>
      </w:tr>
      <w:tr w14:paraId="61E9F82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7016941">
            <w:pPr>
              <w:pStyle w:val="16"/>
              <w:spacing w:before="0" w:beforeAutospacing="0" w:after="120" w:afterAutospacing="0" w:line="0" w:lineRule="atLeast"/>
            </w:pPr>
            <w:r>
              <w:rPr>
                <w:rFonts w:ascii="Calibri" w:hAnsi="Calibri" w:cs="Calibri"/>
                <w:color w:val="000000"/>
              </w:rPr>
              <w:t>3</w:t>
            </w:r>
          </w:p>
        </w:tc>
        <w:tc>
          <w:tcPr>
            <w:tcW w:w="0" w:type="auto"/>
            <w:tcBorders>
              <w:top w:val="single" w:color="000000" w:sz="4" w:space="0"/>
              <w:left w:val="single" w:color="000000" w:sz="4" w:space="0"/>
              <w:bottom w:val="single" w:color="000000" w:sz="4" w:space="0"/>
              <w:right w:val="single" w:color="000000" w:sz="4" w:space="0"/>
            </w:tcBorders>
            <w:vAlign w:val="center"/>
          </w:tcPr>
          <w:p w14:paraId="1C2FCD8A">
            <w:pPr>
              <w:pStyle w:val="16"/>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color="000000" w:sz="4" w:space="0"/>
              <w:left w:val="single" w:color="000000" w:sz="4" w:space="0"/>
              <w:bottom w:val="single" w:color="000000" w:sz="4" w:space="0"/>
              <w:right w:val="single" w:color="000000" w:sz="4" w:space="0"/>
            </w:tcBorders>
            <w:vAlign w:val="center"/>
          </w:tcPr>
          <w:p w14:paraId="70ECE253">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AB37706">
            <w:pPr>
              <w:pStyle w:val="16"/>
              <w:spacing w:before="0" w:beforeAutospacing="0" w:after="120" w:afterAutospacing="0" w:line="0" w:lineRule="atLeast"/>
            </w:pPr>
            <w:r>
              <w:rPr>
                <w:rFonts w:ascii="Calibri" w:hAnsi="Calibri" w:cs="Calibri"/>
                <w:color w:val="000000"/>
              </w:rPr>
              <w:t>Clear explanation and scenario relevance</w:t>
            </w:r>
          </w:p>
        </w:tc>
      </w:tr>
      <w:tr w14:paraId="7A8ED5E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67E28567">
            <w:pPr>
              <w:pStyle w:val="16"/>
              <w:spacing w:before="0" w:beforeAutospacing="0" w:after="120" w:afterAutospacing="0" w:line="0" w:lineRule="atLeast"/>
            </w:pPr>
            <w:r>
              <w:rPr>
                <w:rFonts w:ascii="Calibri" w:hAnsi="Calibri" w:cs="Calibri"/>
                <w:color w:val="000000"/>
              </w:rPr>
              <w:t>4</w:t>
            </w:r>
          </w:p>
        </w:tc>
        <w:tc>
          <w:tcPr>
            <w:tcW w:w="0" w:type="auto"/>
            <w:tcBorders>
              <w:top w:val="single" w:color="000000" w:sz="4" w:space="0"/>
              <w:left w:val="single" w:color="000000" w:sz="4" w:space="0"/>
              <w:bottom w:val="single" w:color="000000" w:sz="4" w:space="0"/>
              <w:right w:val="single" w:color="000000" w:sz="4" w:space="0"/>
            </w:tcBorders>
            <w:vAlign w:val="center"/>
          </w:tcPr>
          <w:p w14:paraId="78249CF4">
            <w:pPr>
              <w:pStyle w:val="16"/>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color="000000" w:sz="4" w:space="0"/>
              <w:left w:val="single" w:color="000000" w:sz="4" w:space="0"/>
              <w:bottom w:val="single" w:color="000000" w:sz="4" w:space="0"/>
              <w:right w:val="single" w:color="000000" w:sz="4" w:space="0"/>
            </w:tcBorders>
            <w:vAlign w:val="center"/>
          </w:tcPr>
          <w:p w14:paraId="2FA622FE">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139948E9">
            <w:pPr>
              <w:pStyle w:val="16"/>
              <w:spacing w:before="0" w:beforeAutospacing="0" w:after="120" w:afterAutospacing="0" w:line="0" w:lineRule="atLeast"/>
            </w:pPr>
            <w:r>
              <w:rPr>
                <w:rFonts w:ascii="Calibri" w:hAnsi="Calibri" w:cs="Calibri"/>
                <w:color w:val="000000"/>
              </w:rPr>
              <w:t>Calculations included; peak-load limitations discussed</w:t>
            </w:r>
          </w:p>
        </w:tc>
      </w:tr>
      <w:tr w14:paraId="64AF992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54B1E9A5">
            <w:pPr>
              <w:pStyle w:val="16"/>
              <w:spacing w:before="0" w:beforeAutospacing="0" w:after="120" w:afterAutospacing="0" w:line="0" w:lineRule="atLeast"/>
            </w:pPr>
            <w:r>
              <w:rPr>
                <w:rFonts w:ascii="Calibri" w:hAnsi="Calibri" w:cs="Calibri"/>
                <w:color w:val="000000"/>
              </w:rPr>
              <w:t>5</w:t>
            </w:r>
          </w:p>
        </w:tc>
        <w:tc>
          <w:tcPr>
            <w:tcW w:w="0" w:type="auto"/>
            <w:tcBorders>
              <w:top w:val="single" w:color="000000" w:sz="4" w:space="0"/>
              <w:left w:val="single" w:color="000000" w:sz="4" w:space="0"/>
              <w:bottom w:val="single" w:color="000000" w:sz="4" w:space="0"/>
              <w:right w:val="single" w:color="000000" w:sz="4" w:space="0"/>
            </w:tcBorders>
            <w:vAlign w:val="center"/>
          </w:tcPr>
          <w:p w14:paraId="485D4538">
            <w:pPr>
              <w:pStyle w:val="16"/>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color="000000" w:sz="4" w:space="0"/>
              <w:left w:val="single" w:color="000000" w:sz="4" w:space="0"/>
              <w:bottom w:val="single" w:color="000000" w:sz="4" w:space="0"/>
              <w:right w:val="single" w:color="000000" w:sz="4" w:space="0"/>
            </w:tcBorders>
            <w:vAlign w:val="center"/>
          </w:tcPr>
          <w:p w14:paraId="3D354CDC">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0D273C1">
            <w:pPr>
              <w:pStyle w:val="16"/>
              <w:spacing w:before="0" w:beforeAutospacing="0" w:after="120" w:afterAutospacing="0" w:line="0" w:lineRule="atLeast"/>
            </w:pPr>
            <w:r>
              <w:rPr>
                <w:rFonts w:ascii="Calibri" w:hAnsi="Calibri" w:cs="Calibri"/>
                <w:color w:val="000000"/>
              </w:rPr>
              <w:t>API methods and request/response examples documented</w:t>
            </w:r>
          </w:p>
        </w:tc>
      </w:tr>
      <w:tr w14:paraId="5A593CA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3F93C93C">
            <w:pPr>
              <w:pStyle w:val="16"/>
              <w:spacing w:before="0" w:beforeAutospacing="0" w:after="120" w:afterAutospacing="0" w:line="0" w:lineRule="atLeast"/>
            </w:pPr>
            <w:r>
              <w:rPr>
                <w:rFonts w:ascii="Calibri" w:hAnsi="Calibri" w:cs="Calibri"/>
                <w:color w:val="000000"/>
              </w:rPr>
              <w:t>6</w:t>
            </w:r>
          </w:p>
        </w:tc>
        <w:tc>
          <w:tcPr>
            <w:tcW w:w="0" w:type="auto"/>
            <w:tcBorders>
              <w:top w:val="single" w:color="000000" w:sz="4" w:space="0"/>
              <w:left w:val="single" w:color="000000" w:sz="4" w:space="0"/>
              <w:bottom w:val="single" w:color="000000" w:sz="4" w:space="0"/>
              <w:right w:val="single" w:color="000000" w:sz="4" w:space="0"/>
            </w:tcBorders>
            <w:vAlign w:val="center"/>
          </w:tcPr>
          <w:p w14:paraId="239BC8A2">
            <w:pPr>
              <w:pStyle w:val="16"/>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color="000000" w:sz="4" w:space="0"/>
              <w:left w:val="single" w:color="000000" w:sz="4" w:space="0"/>
              <w:bottom w:val="single" w:color="000000" w:sz="4" w:space="0"/>
              <w:right w:val="single" w:color="000000" w:sz="4" w:space="0"/>
            </w:tcBorders>
            <w:vAlign w:val="center"/>
          </w:tcPr>
          <w:p w14:paraId="2A6CAD6B">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2645AF0D">
            <w:pPr>
              <w:pStyle w:val="16"/>
              <w:spacing w:before="0" w:beforeAutospacing="0" w:after="120" w:afterAutospacing="0" w:line="0" w:lineRule="atLeast"/>
            </w:pPr>
            <w:r>
              <w:rPr>
                <w:rFonts w:ascii="Calibri" w:hAnsi="Calibri" w:cs="Calibri"/>
                <w:color w:val="000000"/>
              </w:rPr>
              <w:t>All five applications categorized with justification</w:t>
            </w:r>
          </w:p>
        </w:tc>
      </w:tr>
      <w:tr w14:paraId="5E0162F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C786540">
            <w:pPr>
              <w:pStyle w:val="16"/>
              <w:spacing w:before="0" w:beforeAutospacing="0" w:after="120" w:afterAutospacing="0" w:line="0" w:lineRule="atLeast"/>
            </w:pPr>
            <w:r>
              <w:rPr>
                <w:rFonts w:ascii="Calibri" w:hAnsi="Calibri" w:cs="Calibri"/>
                <w:color w:val="000000"/>
              </w:rPr>
              <w:t>7</w:t>
            </w:r>
          </w:p>
        </w:tc>
        <w:tc>
          <w:tcPr>
            <w:tcW w:w="0" w:type="auto"/>
            <w:tcBorders>
              <w:top w:val="single" w:color="000000" w:sz="4" w:space="0"/>
              <w:left w:val="single" w:color="000000" w:sz="4" w:space="0"/>
              <w:bottom w:val="single" w:color="000000" w:sz="4" w:space="0"/>
              <w:right w:val="single" w:color="000000" w:sz="4" w:space="0"/>
            </w:tcBorders>
            <w:vAlign w:val="center"/>
          </w:tcPr>
          <w:p w14:paraId="21D123E4">
            <w:pPr>
              <w:pStyle w:val="16"/>
              <w:spacing w:before="0" w:beforeAutospacing="0" w:after="120" w:afterAutospacing="0" w:line="0" w:lineRule="atLeast"/>
            </w:pPr>
            <w:r>
              <w:rPr>
                <w:rFonts w:ascii="Calibri" w:hAnsi="Calibri" w:cs="Calibri"/>
                <w:color w:val="000000"/>
              </w:rPr>
              <w:t>XaaS variants and two justified selections</w:t>
            </w:r>
          </w:p>
        </w:tc>
        <w:tc>
          <w:tcPr>
            <w:tcW w:w="0" w:type="auto"/>
            <w:tcBorders>
              <w:top w:val="single" w:color="000000" w:sz="4" w:space="0"/>
              <w:left w:val="single" w:color="000000" w:sz="4" w:space="0"/>
              <w:bottom w:val="single" w:color="000000" w:sz="4" w:space="0"/>
              <w:right w:val="single" w:color="000000" w:sz="4" w:space="0"/>
            </w:tcBorders>
            <w:vAlign w:val="center"/>
          </w:tcPr>
          <w:p w14:paraId="6F5A9AEC">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01F63950">
            <w:pPr>
              <w:pStyle w:val="16"/>
              <w:spacing w:before="0" w:beforeAutospacing="0" w:after="120" w:afterAutospacing="0" w:line="0" w:lineRule="atLeast"/>
            </w:pPr>
            <w:r>
              <w:rPr>
                <w:rFonts w:ascii="Calibri" w:hAnsi="Calibri" w:cs="Calibri"/>
                <w:color w:val="000000"/>
              </w:rPr>
              <w:t>Six variants explained; DBaaS and DRaaS recommended</w:t>
            </w:r>
          </w:p>
        </w:tc>
      </w:tr>
      <w:tr w14:paraId="2C834CE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63F7533">
            <w:pPr>
              <w:pStyle w:val="16"/>
              <w:spacing w:before="0" w:beforeAutospacing="0" w:after="120" w:afterAutospacing="0" w:line="0" w:lineRule="atLeast"/>
            </w:pPr>
            <w:r>
              <w:rPr>
                <w:rFonts w:ascii="Calibri" w:hAnsi="Calibri" w:cs="Calibri"/>
                <w:color w:val="000000"/>
              </w:rPr>
              <w:t>8</w:t>
            </w:r>
          </w:p>
        </w:tc>
        <w:tc>
          <w:tcPr>
            <w:tcW w:w="0" w:type="auto"/>
            <w:tcBorders>
              <w:top w:val="single" w:color="000000" w:sz="4" w:space="0"/>
              <w:left w:val="single" w:color="000000" w:sz="4" w:space="0"/>
              <w:bottom w:val="single" w:color="000000" w:sz="4" w:space="0"/>
              <w:right w:val="single" w:color="000000" w:sz="4" w:space="0"/>
            </w:tcBorders>
            <w:vAlign w:val="center"/>
          </w:tcPr>
          <w:p w14:paraId="7B802EF1">
            <w:pPr>
              <w:pStyle w:val="16"/>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color="000000" w:sz="4" w:space="0"/>
              <w:left w:val="single" w:color="000000" w:sz="4" w:space="0"/>
              <w:bottom w:val="single" w:color="000000" w:sz="4" w:space="0"/>
              <w:right w:val="single" w:color="000000" w:sz="4" w:space="0"/>
            </w:tcBorders>
            <w:vAlign w:val="center"/>
          </w:tcPr>
          <w:p w14:paraId="7F95D8D8">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32ACDC11">
            <w:pPr>
              <w:pStyle w:val="16"/>
              <w:spacing w:before="0" w:beforeAutospacing="0" w:after="120" w:afterAutospacing="0" w:line="0" w:lineRule="atLeast"/>
            </w:pPr>
            <w:r>
              <w:rPr>
                <w:rFonts w:ascii="Calibri" w:hAnsi="Calibri" w:cs="Calibri"/>
                <w:color w:val="000000"/>
              </w:rPr>
              <w:t>Design and component justifications documented</w:t>
            </w:r>
          </w:p>
        </w:tc>
      </w:tr>
      <w:tr w14:paraId="0AB80D1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42ABDEB">
            <w:pPr>
              <w:pStyle w:val="16"/>
              <w:spacing w:before="0" w:beforeAutospacing="0" w:after="120" w:afterAutospacing="0" w:line="0" w:lineRule="atLeast"/>
            </w:pPr>
            <w:r>
              <w:rPr>
                <w:rFonts w:ascii="Calibri" w:hAnsi="Calibri" w:cs="Calibri"/>
                <w:color w:val="000000"/>
              </w:rPr>
              <w:t>9</w:t>
            </w:r>
          </w:p>
        </w:tc>
        <w:tc>
          <w:tcPr>
            <w:tcW w:w="0" w:type="auto"/>
            <w:tcBorders>
              <w:top w:val="single" w:color="000000" w:sz="4" w:space="0"/>
              <w:left w:val="single" w:color="000000" w:sz="4" w:space="0"/>
              <w:bottom w:val="single" w:color="000000" w:sz="4" w:space="0"/>
              <w:right w:val="single" w:color="000000" w:sz="4" w:space="0"/>
            </w:tcBorders>
            <w:vAlign w:val="center"/>
          </w:tcPr>
          <w:p w14:paraId="36C4C573">
            <w:pPr>
              <w:pStyle w:val="16"/>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color="000000" w:sz="4" w:space="0"/>
              <w:left w:val="single" w:color="000000" w:sz="4" w:space="0"/>
              <w:bottom w:val="single" w:color="000000" w:sz="4" w:space="0"/>
              <w:right w:val="single" w:color="000000" w:sz="4" w:space="0"/>
            </w:tcBorders>
            <w:vAlign w:val="center"/>
          </w:tcPr>
          <w:p w14:paraId="35D7A7E4">
            <w:pPr>
              <w:pStyle w:val="16"/>
              <w:spacing w:before="0" w:beforeAutospacing="0" w:after="120" w:afterAutospacing="0" w:line="0" w:lineRule="atLeast"/>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2D50AAE0">
            <w:pPr>
              <w:pStyle w:val="16"/>
              <w:spacing w:before="0" w:beforeAutospacing="0" w:after="120" w:afterAutospacing="0" w:line="0" w:lineRule="atLeast"/>
            </w:pPr>
            <w:r>
              <w:rPr>
                <w:rFonts w:ascii="Calibri" w:hAnsi="Calibri" w:cs="Calibri"/>
                <w:color w:val="000000"/>
              </w:rPr>
              <w:t>Code and procedures provided; actual execution evidence requires verification</w:t>
            </w:r>
          </w:p>
        </w:tc>
      </w:tr>
      <w:tr w14:paraId="6A16160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51DA4022">
            <w:pPr>
              <w:pStyle w:val="16"/>
              <w:spacing w:before="0" w:beforeAutospacing="0" w:after="120" w:afterAutospacing="0" w:line="0" w:lineRule="atLeast"/>
            </w:pPr>
            <w:r>
              <w:rPr>
                <w:rFonts w:ascii="Calibri" w:hAnsi="Calibri" w:cs="Calibri"/>
                <w:color w:val="000000"/>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3CDB34F7">
            <w:pPr>
              <w:pStyle w:val="16"/>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color="000000" w:sz="4" w:space="0"/>
              <w:left w:val="single" w:color="000000" w:sz="4" w:space="0"/>
              <w:bottom w:val="single" w:color="000000" w:sz="4" w:space="0"/>
              <w:right w:val="single" w:color="000000" w:sz="4" w:space="0"/>
            </w:tcBorders>
            <w:vAlign w:val="center"/>
          </w:tcPr>
          <w:p w14:paraId="408BAEB0">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9B9704D">
            <w:pPr>
              <w:pStyle w:val="16"/>
              <w:spacing w:before="0" w:beforeAutospacing="0" w:after="120" w:afterAutospacing="0" w:line="0" w:lineRule="atLeast"/>
            </w:pPr>
            <w:r>
              <w:rPr>
                <w:rFonts w:ascii="Calibri" w:hAnsi="Calibri" w:cs="Calibri"/>
                <w:color w:val="000000"/>
              </w:rPr>
              <w:t>Cost assumptions, calculations and recommendations included</w:t>
            </w:r>
          </w:p>
        </w:tc>
      </w:tr>
      <w:tr w14:paraId="7BFB4DA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6C59205A">
            <w:pPr>
              <w:pStyle w:val="16"/>
              <w:spacing w:before="0" w:beforeAutospacing="0" w:after="120" w:afterAutospacing="0" w:line="0" w:lineRule="atLeast"/>
            </w:pPr>
            <w:r>
              <w:rPr>
                <w:rFonts w:ascii="Calibri" w:hAnsi="Calibri" w:cs="Calibri"/>
                <w:color w:val="000000"/>
              </w:rPr>
              <w:t>11</w:t>
            </w:r>
          </w:p>
        </w:tc>
        <w:tc>
          <w:tcPr>
            <w:tcW w:w="0" w:type="auto"/>
            <w:tcBorders>
              <w:top w:val="single" w:color="000000" w:sz="4" w:space="0"/>
              <w:left w:val="single" w:color="000000" w:sz="4" w:space="0"/>
              <w:bottom w:val="single" w:color="000000" w:sz="4" w:space="0"/>
              <w:right w:val="single" w:color="000000" w:sz="4" w:space="0"/>
            </w:tcBorders>
            <w:vAlign w:val="center"/>
          </w:tcPr>
          <w:p w14:paraId="323B13E8">
            <w:pPr>
              <w:pStyle w:val="16"/>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1F7784D3">
            <w:pPr>
              <w:pStyle w:val="16"/>
              <w:spacing w:before="0" w:beforeAutospacing="0" w:after="120" w:afterAutospacing="0" w:line="0" w:lineRule="atLeast"/>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72F4873">
            <w:pPr>
              <w:pStyle w:val="16"/>
              <w:spacing w:before="0" w:beforeAutospacing="0" w:after="120" w:afterAutospacing="0" w:line="0" w:lineRule="atLeast"/>
            </w:pPr>
            <w:r>
              <w:rPr>
                <w:rFonts w:ascii="Calibri" w:hAnsi="Calibri" w:cs="Calibri"/>
                <w:color w:val="000000"/>
              </w:rPr>
              <w:t>Changed requirements evaluated; load-test evidence recommended</w:t>
            </w:r>
          </w:p>
        </w:tc>
      </w:tr>
    </w:tbl>
    <w:p w14:paraId="72DECC64"/>
    <w:p w14:paraId="68541887">
      <w:pPr>
        <w:pStyle w:val="16"/>
        <w:spacing w:before="0" w:beforeAutospacing="0" w:after="120" w:afterAutospacing="0"/>
      </w:pPr>
      <w:r>
        <w:rPr>
          <w:rFonts w:ascii="Calibri" w:hAnsi="Calibri" w:cs="Calibri"/>
          <w:b/>
          <w:bCs/>
          <w:color w:val="000000"/>
        </w:rPr>
        <w:t>IMPLEMENTATION EVIDENCE CHAIN</w:t>
      </w:r>
    </w:p>
    <w:tbl>
      <w:tblPr>
        <w:tblStyle w:val="12"/>
        <w:tblW w:w="0" w:type="auto"/>
        <w:tblInd w:w="0" w:type="dxa"/>
        <w:tblLayout w:type="autofit"/>
        <w:tblCellMar>
          <w:top w:w="15" w:type="dxa"/>
          <w:left w:w="15" w:type="dxa"/>
          <w:bottom w:w="15" w:type="dxa"/>
          <w:right w:w="15" w:type="dxa"/>
        </w:tblCellMar>
      </w:tblPr>
      <w:tblGrid>
        <w:gridCol w:w="2419"/>
        <w:gridCol w:w="653"/>
        <w:gridCol w:w="5984"/>
      </w:tblGrid>
      <w:tr w14:paraId="3B2D1DA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D3DEB26">
            <w:pPr>
              <w:pStyle w:val="16"/>
              <w:spacing w:before="0" w:beforeAutospacing="0" w:after="120" w:afterAutospacing="0" w:line="0" w:lineRule="atLeast"/>
            </w:pPr>
            <w:r>
              <w:rPr>
                <w:rFonts w:ascii="Calibri" w:hAnsi="Calibri" w:cs="Calibri"/>
                <w:b/>
                <w:bCs/>
                <w:color w:val="000000"/>
              </w:rPr>
              <w:t>Evidence item</w:t>
            </w:r>
          </w:p>
        </w:tc>
        <w:tc>
          <w:tcPr>
            <w:tcW w:w="0" w:type="auto"/>
            <w:tcBorders>
              <w:top w:val="single" w:color="000000" w:sz="4" w:space="0"/>
              <w:left w:val="single" w:color="000000" w:sz="4" w:space="0"/>
              <w:bottom w:val="single" w:color="000000" w:sz="4" w:space="0"/>
              <w:right w:val="single" w:color="000000" w:sz="4" w:space="0"/>
            </w:tcBorders>
            <w:vAlign w:val="center"/>
          </w:tcPr>
          <w:p w14:paraId="4B731787">
            <w:pPr>
              <w:pStyle w:val="16"/>
              <w:spacing w:before="0" w:beforeAutospacing="0" w:after="120" w:afterAutospacing="0" w:line="0" w:lineRule="atLeast"/>
            </w:pPr>
            <w:r>
              <w:rPr>
                <w:rFonts w:ascii="Calibri" w:hAnsi="Calibri" w:cs="Calibri"/>
                <w:b/>
                <w:bCs/>
                <w:color w:val="000000"/>
              </w:rPr>
              <w:t>Status</w:t>
            </w:r>
          </w:p>
        </w:tc>
        <w:tc>
          <w:tcPr>
            <w:tcW w:w="0" w:type="auto"/>
            <w:tcBorders>
              <w:top w:val="single" w:color="000000" w:sz="4" w:space="0"/>
              <w:left w:val="single" w:color="000000" w:sz="4" w:space="0"/>
              <w:bottom w:val="single" w:color="000000" w:sz="4" w:space="0"/>
              <w:right w:val="single" w:color="000000" w:sz="4" w:space="0"/>
            </w:tcBorders>
            <w:vAlign w:val="center"/>
          </w:tcPr>
          <w:p w14:paraId="195A604D">
            <w:pPr>
              <w:pStyle w:val="16"/>
              <w:spacing w:before="0" w:beforeAutospacing="0" w:after="120" w:afterAutospacing="0" w:line="0" w:lineRule="atLeast"/>
            </w:pPr>
            <w:r>
              <w:rPr>
                <w:rFonts w:ascii="Calibri" w:hAnsi="Calibri" w:cs="Calibri"/>
                <w:b/>
                <w:bCs/>
                <w:color w:val="000000"/>
              </w:rPr>
              <w:t>Observation</w:t>
            </w:r>
          </w:p>
        </w:tc>
      </w:tr>
      <w:tr w14:paraId="5AC524B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CD83610">
            <w:pPr>
              <w:pStyle w:val="16"/>
              <w:spacing w:before="0" w:beforeAutospacing="0" w:after="120" w:afterAutospacing="0" w:line="0" w:lineRule="atLeast"/>
            </w:pPr>
            <w:r>
              <w:rPr>
                <w:rFonts w:ascii="Calibri" w:hAnsi="Calibri" w:cs="Calibri"/>
                <w:color w:val="000000"/>
              </w:rPr>
              <w:t>Source code</w:t>
            </w:r>
          </w:p>
        </w:tc>
        <w:tc>
          <w:tcPr>
            <w:tcW w:w="0" w:type="auto"/>
            <w:tcBorders>
              <w:top w:val="single" w:color="000000" w:sz="4" w:space="0"/>
              <w:left w:val="single" w:color="000000" w:sz="4" w:space="0"/>
              <w:bottom w:val="single" w:color="000000" w:sz="4" w:space="0"/>
              <w:right w:val="single" w:color="000000" w:sz="4" w:space="0"/>
            </w:tcBorders>
            <w:vAlign w:val="center"/>
          </w:tcPr>
          <w:p w14:paraId="1D9ED0D7">
            <w:pPr>
              <w:pStyle w:val="16"/>
              <w:spacing w:before="0" w:beforeAutospacing="0" w:after="1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70BE9774">
            <w:pPr>
              <w:pStyle w:val="16"/>
              <w:spacing w:before="0" w:beforeAutospacing="0" w:after="120" w:afterAutospacing="0" w:line="0" w:lineRule="atLeast"/>
            </w:pPr>
            <w:r>
              <w:rPr>
                <w:rFonts w:ascii="Calibri" w:hAnsi="Calibri" w:cs="Calibri"/>
                <w:color w:val="000000"/>
              </w:rPr>
              <w:t>Python Flask REST API and Dockerfile documented</w:t>
            </w:r>
          </w:p>
        </w:tc>
      </w:tr>
      <w:tr w14:paraId="2FEDA3A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581D7556">
            <w:pPr>
              <w:pStyle w:val="16"/>
              <w:spacing w:before="0" w:beforeAutospacing="0" w:after="120" w:afterAutospacing="0" w:line="0" w:lineRule="atLeast"/>
            </w:pPr>
            <w:r>
              <w:rPr>
                <w:rFonts w:ascii="Calibri" w:hAnsi="Calibri" w:cs="Calibri"/>
                <w:color w:val="000000"/>
              </w:rPr>
              <w:t>Virtualization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7D2B58AD">
            <w:pPr>
              <w:pStyle w:val="16"/>
              <w:spacing w:before="0" w:beforeAutospacing="0" w:after="1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02F5EF65">
            <w:pPr>
              <w:pStyle w:val="16"/>
              <w:spacing w:before="0" w:beforeAutospacing="0" w:after="120" w:afterAutospacing="0" w:line="0" w:lineRule="atLeast"/>
            </w:pPr>
            <w:r>
              <w:rPr>
                <w:rFonts w:ascii="Calibri" w:hAnsi="Calibri" w:cs="Calibri"/>
                <w:color w:val="000000"/>
              </w:rPr>
              <w:t>Docker build and run procedures provided; execution screenshot required</w:t>
            </w:r>
          </w:p>
        </w:tc>
      </w:tr>
      <w:tr w14:paraId="773E72E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AAAF1DD">
            <w:pPr>
              <w:pStyle w:val="16"/>
              <w:spacing w:before="0" w:beforeAutospacing="0" w:after="120" w:afterAutospacing="0" w:line="0" w:lineRule="atLeast"/>
            </w:pPr>
            <w:r>
              <w:rPr>
                <w:rFonts w:ascii="Calibri" w:hAnsi="Calibri" w:cs="Calibri"/>
                <w:color w:val="000000"/>
              </w:rPr>
              <w:t>PaaS or SaaS</w:t>
            </w:r>
          </w:p>
        </w:tc>
        <w:tc>
          <w:tcPr>
            <w:tcW w:w="0" w:type="auto"/>
            <w:tcBorders>
              <w:top w:val="single" w:color="000000" w:sz="4" w:space="0"/>
              <w:left w:val="single" w:color="000000" w:sz="4" w:space="0"/>
              <w:bottom w:val="single" w:color="000000" w:sz="4" w:space="0"/>
              <w:right w:val="single" w:color="000000" w:sz="4" w:space="0"/>
            </w:tcBorders>
            <w:vAlign w:val="center"/>
          </w:tcPr>
          <w:p w14:paraId="1B0D99BB">
            <w:pPr>
              <w:pStyle w:val="16"/>
              <w:spacing w:before="0" w:beforeAutospacing="0" w:after="1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73CF6ABB">
            <w:pPr>
              <w:pStyle w:val="16"/>
              <w:spacing w:before="0" w:beforeAutospacing="0" w:after="120" w:afterAutospacing="0" w:line="0" w:lineRule="atLeast"/>
            </w:pPr>
            <w:r>
              <w:rPr>
                <w:rFonts w:ascii="Calibri" w:hAnsi="Calibri" w:cs="Calibri"/>
                <w:color w:val="000000"/>
              </w:rPr>
              <w:t>Cloud deployment steps described; actual deployment confirmation required</w:t>
            </w:r>
          </w:p>
        </w:tc>
      </w:tr>
      <w:tr w14:paraId="1B7FDCE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31CBFCFD">
            <w:pPr>
              <w:pStyle w:val="16"/>
              <w:spacing w:before="0" w:beforeAutospacing="0" w:after="120" w:afterAutospacing="0" w:line="0" w:lineRule="atLeast"/>
            </w:pPr>
            <w:r>
              <w:rPr>
                <w:rFonts w:ascii="Calibri" w:hAnsi="Calibri" w:cs="Calibri"/>
                <w:color w:val="000000"/>
              </w:rPr>
              <w:t>Functional test</w:t>
            </w:r>
          </w:p>
        </w:tc>
        <w:tc>
          <w:tcPr>
            <w:tcW w:w="0" w:type="auto"/>
            <w:tcBorders>
              <w:top w:val="single" w:color="000000" w:sz="4" w:space="0"/>
              <w:left w:val="single" w:color="000000" w:sz="4" w:space="0"/>
              <w:bottom w:val="single" w:color="000000" w:sz="4" w:space="0"/>
              <w:right w:val="single" w:color="000000" w:sz="4" w:space="0"/>
            </w:tcBorders>
            <w:vAlign w:val="center"/>
          </w:tcPr>
          <w:p w14:paraId="79B5385E">
            <w:pPr>
              <w:pStyle w:val="16"/>
              <w:spacing w:before="0" w:beforeAutospacing="0" w:after="1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384072C6">
            <w:pPr>
              <w:pStyle w:val="16"/>
              <w:spacing w:before="0" w:beforeAutospacing="0" w:after="120" w:afterAutospacing="0" w:line="0" w:lineRule="atLeast"/>
            </w:pPr>
            <w:r>
              <w:rPr>
                <w:rFonts w:ascii="Calibri" w:hAnsi="Calibri" w:cs="Calibri"/>
                <w:color w:val="000000"/>
              </w:rPr>
              <w:t>HTTP 200 and expected JSON response documented; actual test output required</w:t>
            </w:r>
          </w:p>
        </w:tc>
      </w:tr>
      <w:tr w14:paraId="5A0B508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1349CAD5">
            <w:pPr>
              <w:pStyle w:val="16"/>
              <w:spacing w:before="0" w:beforeAutospacing="0" w:after="120" w:afterAutospacing="0" w:line="0" w:lineRule="atLeast"/>
            </w:pPr>
            <w:r>
              <w:rPr>
                <w:rFonts w:ascii="Calibri" w:hAnsi="Calibri" w:cs="Calibri"/>
                <w:color w:val="000000"/>
              </w:rPr>
              <w:t>Failure case</w:t>
            </w:r>
          </w:p>
        </w:tc>
        <w:tc>
          <w:tcPr>
            <w:tcW w:w="0" w:type="auto"/>
            <w:tcBorders>
              <w:top w:val="single" w:color="000000" w:sz="4" w:space="0"/>
              <w:left w:val="single" w:color="000000" w:sz="4" w:space="0"/>
              <w:bottom w:val="single" w:color="000000" w:sz="4" w:space="0"/>
              <w:right w:val="single" w:color="000000" w:sz="4" w:space="0"/>
            </w:tcBorders>
            <w:vAlign w:val="center"/>
          </w:tcPr>
          <w:p w14:paraId="10F7031B">
            <w:pPr>
              <w:pStyle w:val="16"/>
              <w:spacing w:before="0" w:beforeAutospacing="0" w:after="1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6F3EDF59">
            <w:pPr>
              <w:pStyle w:val="16"/>
              <w:spacing w:before="0" w:beforeAutospacing="0" w:after="120" w:afterAutospacing="0" w:line="0" w:lineRule="atLeast"/>
            </w:pPr>
            <w:r>
              <w:rPr>
                <w:rFonts w:ascii="Calibri" w:hAnsi="Calibri" w:cs="Calibri"/>
                <w:color w:val="000000"/>
              </w:rPr>
              <w:t>HTTP 404 test case included; execution evidence required</w:t>
            </w:r>
          </w:p>
        </w:tc>
      </w:tr>
      <w:tr w14:paraId="6A2BA23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F1DBE08">
            <w:pPr>
              <w:pStyle w:val="16"/>
              <w:spacing w:before="0" w:beforeAutospacing="0" w:after="120" w:afterAutospacing="0" w:line="0" w:lineRule="atLeast"/>
            </w:pPr>
            <w:r>
              <w:rPr>
                <w:rFonts w:ascii="Calibri" w:hAnsi="Calibri" w:cs="Calibri"/>
                <w:color w:val="000000"/>
              </w:rPr>
              <w:t>Screenshots</w:t>
            </w:r>
          </w:p>
        </w:tc>
        <w:tc>
          <w:tcPr>
            <w:tcW w:w="0" w:type="auto"/>
            <w:tcBorders>
              <w:top w:val="single" w:color="000000" w:sz="4" w:space="0"/>
              <w:left w:val="single" w:color="000000" w:sz="4" w:space="0"/>
              <w:bottom w:val="single" w:color="000000" w:sz="4" w:space="0"/>
              <w:right w:val="single" w:color="000000" w:sz="4" w:space="0"/>
            </w:tcBorders>
            <w:vAlign w:val="center"/>
          </w:tcPr>
          <w:p w14:paraId="33103B6F">
            <w:pPr>
              <w:pStyle w:val="16"/>
              <w:spacing w:before="0" w:beforeAutospacing="0" w:after="120" w:afterAutospacing="0" w:line="0" w:lineRule="atLeast"/>
              <w:jc w:val="center"/>
            </w:pPr>
            <w:r>
              <w:rPr>
                <w:rFonts w:ascii="Calibri" w:hAnsi="Calibri" w:cs="Calibri"/>
                <w:color w:val="000000"/>
              </w:rPr>
              <w:t>P</w:t>
            </w:r>
          </w:p>
        </w:tc>
        <w:tc>
          <w:tcPr>
            <w:tcW w:w="0" w:type="auto"/>
            <w:tcBorders>
              <w:top w:val="single" w:color="000000" w:sz="4" w:space="0"/>
              <w:left w:val="single" w:color="000000" w:sz="4" w:space="0"/>
              <w:bottom w:val="single" w:color="000000" w:sz="4" w:space="0"/>
              <w:right w:val="single" w:color="000000" w:sz="4" w:space="0"/>
            </w:tcBorders>
            <w:vAlign w:val="center"/>
          </w:tcPr>
          <w:p w14:paraId="10C4D4FD">
            <w:pPr>
              <w:pStyle w:val="16"/>
              <w:spacing w:before="0" w:beforeAutospacing="0" w:after="120" w:afterAutospacing="0" w:line="0" w:lineRule="atLeast"/>
            </w:pPr>
            <w:r>
              <w:rPr>
                <w:rFonts w:ascii="Calibri" w:hAnsi="Calibri" w:cs="Calibri"/>
                <w:color w:val="000000"/>
              </w:rPr>
              <w:t>Required screenshots identified but authenticity and completeness not verified</w:t>
            </w:r>
          </w:p>
        </w:tc>
      </w:tr>
      <w:tr w14:paraId="4AAB26A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6FAC337">
            <w:pPr>
              <w:pStyle w:val="16"/>
              <w:spacing w:before="0" w:beforeAutospacing="0" w:after="120" w:afterAutospacing="0" w:line="0" w:lineRule="atLeast"/>
            </w:pPr>
            <w:r>
              <w:rPr>
                <w:rFonts w:ascii="Calibri" w:hAnsi="Calibri" w:cs="Calibri"/>
                <w:color w:val="000000"/>
              </w:rPr>
              <w:t>Reproducibility</w:t>
            </w:r>
          </w:p>
        </w:tc>
        <w:tc>
          <w:tcPr>
            <w:tcW w:w="0" w:type="auto"/>
            <w:tcBorders>
              <w:top w:val="single" w:color="000000" w:sz="4" w:space="0"/>
              <w:left w:val="single" w:color="000000" w:sz="4" w:space="0"/>
              <w:bottom w:val="single" w:color="000000" w:sz="4" w:space="0"/>
              <w:right w:val="single" w:color="000000" w:sz="4" w:space="0"/>
            </w:tcBorders>
            <w:vAlign w:val="center"/>
          </w:tcPr>
          <w:p w14:paraId="7D1FE766">
            <w:pPr>
              <w:pStyle w:val="16"/>
              <w:spacing w:before="0" w:beforeAutospacing="0" w:after="1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BFD2CC4">
            <w:pPr>
              <w:pStyle w:val="16"/>
              <w:spacing w:before="0" w:beforeAutospacing="0" w:after="120" w:afterAutospacing="0" w:line="0" w:lineRule="atLeast"/>
            </w:pPr>
            <w:r>
              <w:rPr>
                <w:rFonts w:ascii="Calibri" w:hAnsi="Calibri" w:cs="Calibri"/>
                <w:color w:val="000000"/>
              </w:rPr>
              <w:t>Installation, configuration, commands and testing steps documented</w:t>
            </w:r>
          </w:p>
        </w:tc>
      </w:tr>
      <w:tr w14:paraId="2EB082D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2F6D180">
            <w:pPr>
              <w:pStyle w:val="16"/>
              <w:spacing w:before="0" w:beforeAutospacing="0" w:after="120" w:afterAutospacing="0" w:line="0" w:lineRule="atLeast"/>
            </w:pPr>
            <w:r>
              <w:rPr>
                <w:rFonts w:ascii="Calibri" w:hAnsi="Calibri" w:cs="Calibri"/>
                <w:color w:val="000000"/>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71CFE680">
            <w:pPr>
              <w:pStyle w:val="16"/>
              <w:spacing w:before="0" w:beforeAutospacing="0" w:after="1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FCAB5E2">
            <w:pPr>
              <w:pStyle w:val="16"/>
              <w:spacing w:before="0" w:beforeAutospacing="0" w:after="120" w:afterAutospacing="0" w:line="0" w:lineRule="atLeast"/>
            </w:pPr>
            <w:r>
              <w:rPr>
                <w:rFonts w:ascii="Calibri" w:hAnsi="Calibri" w:cs="Calibri"/>
                <w:color w:val="000000"/>
              </w:rPr>
              <w:t>Technical outcomes and implementation limitations explained</w:t>
            </w:r>
          </w:p>
        </w:tc>
      </w:tr>
      <w:tr w14:paraId="589F0F2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497F627">
            <w:pPr>
              <w:pStyle w:val="16"/>
              <w:spacing w:before="0" w:beforeAutospacing="0" w:after="120" w:afterAutospacing="0" w:line="0" w:lineRule="atLeast"/>
            </w:pPr>
            <w:r>
              <w:rPr>
                <w:rFonts w:ascii="Calibri" w:hAnsi="Calibri" w:cs="Calibri"/>
                <w:color w:val="000000"/>
              </w:rPr>
              <w:t>Code and report consistency</w:t>
            </w:r>
          </w:p>
        </w:tc>
        <w:tc>
          <w:tcPr>
            <w:tcW w:w="0" w:type="auto"/>
            <w:tcBorders>
              <w:top w:val="single" w:color="000000" w:sz="4" w:space="0"/>
              <w:left w:val="single" w:color="000000" w:sz="4" w:space="0"/>
              <w:bottom w:val="single" w:color="000000" w:sz="4" w:space="0"/>
              <w:right w:val="single" w:color="000000" w:sz="4" w:space="0"/>
            </w:tcBorders>
            <w:vAlign w:val="center"/>
          </w:tcPr>
          <w:p w14:paraId="14CB08AB">
            <w:pPr>
              <w:pStyle w:val="16"/>
              <w:spacing w:before="0" w:beforeAutospacing="0" w:after="120" w:afterAutospacing="0" w:line="0" w:lineRule="atLeast"/>
              <w:jc w:val="center"/>
            </w:pPr>
            <w:r>
              <w:rPr>
                <w:rFonts w:hint="eastAsia" w:ascii="MS Gothic" w:hAnsi="MS Gothic" w:eastAsia="MS Gothic" w:cs="MS Gothic"/>
                <w:color w:val="000000"/>
              </w:rPr>
              <w:t>✓</w:t>
            </w:r>
          </w:p>
        </w:tc>
        <w:tc>
          <w:tcPr>
            <w:tcW w:w="0" w:type="auto"/>
            <w:tcBorders>
              <w:top w:val="single" w:color="000000" w:sz="4" w:space="0"/>
              <w:left w:val="single" w:color="000000" w:sz="4" w:space="0"/>
              <w:bottom w:val="single" w:color="000000" w:sz="4" w:space="0"/>
              <w:right w:val="single" w:color="000000" w:sz="4" w:space="0"/>
            </w:tcBorders>
            <w:vAlign w:val="center"/>
          </w:tcPr>
          <w:p w14:paraId="4C183B12">
            <w:pPr>
              <w:pStyle w:val="16"/>
              <w:spacing w:before="0" w:beforeAutospacing="0" w:after="120" w:afterAutospacing="0" w:line="0" w:lineRule="atLeast"/>
            </w:pPr>
            <w:r>
              <w:rPr>
                <w:rFonts w:ascii="Calibri" w:hAnsi="Calibri" w:cs="Calibri"/>
                <w:color w:val="000000"/>
              </w:rPr>
              <w:t>Proposed API, Docker configuration and testing procedure are aligned</w:t>
            </w:r>
          </w:p>
        </w:tc>
      </w:tr>
    </w:tbl>
    <w:p w14:paraId="691567C4"/>
    <w:p w14:paraId="753ABC2B">
      <w:pPr>
        <w:pStyle w:val="16"/>
        <w:spacing w:before="0" w:beforeAutospacing="0" w:after="120" w:afterAutospacing="0"/>
      </w:pPr>
      <w:r>
        <w:rPr>
          <w:rFonts w:ascii="Calibri" w:hAnsi="Calibri" w:cs="Calibri"/>
          <w:b/>
          <w:bCs/>
          <w:color w:val="000000"/>
        </w:rPr>
        <w:t>SUBMISSION CHECKLIST (Not Separately Marked)</w:t>
      </w:r>
    </w:p>
    <w:tbl>
      <w:tblPr>
        <w:tblStyle w:val="12"/>
        <w:tblW w:w="8816" w:type="dxa"/>
        <w:tblInd w:w="0" w:type="dxa"/>
        <w:tblLayout w:type="autofit"/>
        <w:tblCellMar>
          <w:top w:w="15" w:type="dxa"/>
          <w:left w:w="15" w:type="dxa"/>
          <w:bottom w:w="15" w:type="dxa"/>
          <w:right w:w="15" w:type="dxa"/>
        </w:tblCellMar>
      </w:tblPr>
      <w:tblGrid>
        <w:gridCol w:w="5972"/>
        <w:gridCol w:w="2844"/>
      </w:tblGrid>
      <w:tr w14:paraId="4F88E91B">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951A206">
            <w:pPr>
              <w:pStyle w:val="16"/>
              <w:spacing w:before="0" w:beforeAutospacing="0" w:after="120" w:afterAutospacing="0" w:line="0" w:lineRule="atLeast"/>
            </w:pPr>
            <w:r>
              <w:rPr>
                <w:rFonts w:ascii="Calibri" w:hAnsi="Calibri" w:cs="Calibri"/>
                <w:b/>
                <w:bCs/>
                <w:color w:val="000000"/>
              </w:rPr>
              <w:t>Requirement</w:t>
            </w:r>
          </w:p>
        </w:tc>
        <w:tc>
          <w:tcPr>
            <w:tcW w:w="0" w:type="auto"/>
            <w:tcBorders>
              <w:top w:val="single" w:color="000000" w:sz="4" w:space="0"/>
              <w:left w:val="single" w:color="000000" w:sz="4" w:space="0"/>
              <w:bottom w:val="single" w:color="000000" w:sz="4" w:space="0"/>
              <w:right w:val="single" w:color="000000" w:sz="4" w:space="0"/>
            </w:tcBorders>
            <w:vAlign w:val="center"/>
          </w:tcPr>
          <w:p w14:paraId="7BC1A94D">
            <w:pPr>
              <w:pStyle w:val="16"/>
              <w:spacing w:before="0" w:beforeAutospacing="0" w:after="120" w:afterAutospacing="0" w:line="0" w:lineRule="atLeast"/>
            </w:pPr>
            <w:r>
              <w:rPr>
                <w:rFonts w:ascii="Calibri" w:hAnsi="Calibri" w:cs="Calibri"/>
                <w:b/>
                <w:bCs/>
                <w:color w:val="000000"/>
              </w:rPr>
              <w:t>Status</w:t>
            </w:r>
          </w:p>
        </w:tc>
      </w:tr>
      <w:tr w14:paraId="6E3382D5">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2638DA5">
            <w:pPr>
              <w:pStyle w:val="16"/>
              <w:spacing w:before="0" w:beforeAutospacing="0" w:after="120" w:afterAutospacing="0" w:line="0" w:lineRule="atLeast"/>
            </w:pPr>
            <w:r>
              <w:rPr>
                <w:rFonts w:ascii="Calibri" w:hAnsi="Calibri" w:cs="Calibri"/>
                <w:color w:val="000000"/>
              </w:rPr>
              <w:t>All 11 tasks answered</w:t>
            </w:r>
          </w:p>
        </w:tc>
        <w:tc>
          <w:tcPr>
            <w:tcW w:w="0" w:type="auto"/>
            <w:tcBorders>
              <w:top w:val="single" w:color="000000" w:sz="4" w:space="0"/>
              <w:left w:val="single" w:color="000000" w:sz="4" w:space="0"/>
              <w:bottom w:val="single" w:color="000000" w:sz="4" w:space="0"/>
              <w:right w:val="single" w:color="000000" w:sz="4" w:space="0"/>
            </w:tcBorders>
            <w:vAlign w:val="center"/>
          </w:tcPr>
          <w:p w14:paraId="503DCECE">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7023ACF0">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92F28F4">
            <w:pPr>
              <w:pStyle w:val="16"/>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color="000000" w:sz="4" w:space="0"/>
              <w:left w:val="single" w:color="000000" w:sz="4" w:space="0"/>
              <w:bottom w:val="single" w:color="000000" w:sz="4" w:space="0"/>
              <w:right w:val="single" w:color="000000" w:sz="4" w:space="0"/>
            </w:tcBorders>
            <w:vAlign w:val="center"/>
          </w:tcPr>
          <w:p w14:paraId="3142F0FB">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57DDCE9B">
        <w:tblPrEx>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3AE78A3">
            <w:pPr>
              <w:pStyle w:val="16"/>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color="000000" w:sz="4" w:space="0"/>
              <w:left w:val="single" w:color="000000" w:sz="4" w:space="0"/>
              <w:bottom w:val="single" w:color="000000" w:sz="4" w:space="0"/>
              <w:right w:val="single" w:color="000000" w:sz="4" w:space="0"/>
            </w:tcBorders>
            <w:vAlign w:val="center"/>
          </w:tcPr>
          <w:p w14:paraId="7756CC05">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27295B8E">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34BF4A3">
            <w:pPr>
              <w:pStyle w:val="16"/>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color="000000" w:sz="4" w:space="0"/>
              <w:left w:val="single" w:color="000000" w:sz="4" w:space="0"/>
              <w:bottom w:val="single" w:color="000000" w:sz="4" w:space="0"/>
              <w:right w:val="single" w:color="000000" w:sz="4" w:space="0"/>
            </w:tcBorders>
            <w:vAlign w:val="center"/>
          </w:tcPr>
          <w:p w14:paraId="43F4F35F">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44F0D991">
        <w:tblPrEx>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8AA1A78">
            <w:pPr>
              <w:pStyle w:val="16"/>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color="000000" w:sz="4" w:space="0"/>
              <w:left w:val="single" w:color="000000" w:sz="4" w:space="0"/>
              <w:bottom w:val="single" w:color="000000" w:sz="4" w:space="0"/>
              <w:right w:val="single" w:color="000000" w:sz="4" w:space="0"/>
            </w:tcBorders>
            <w:vAlign w:val="center"/>
          </w:tcPr>
          <w:p w14:paraId="30C65D2A">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4BD29288">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6D76A30">
            <w:pPr>
              <w:pStyle w:val="16"/>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color="000000" w:sz="4" w:space="0"/>
              <w:left w:val="single" w:color="000000" w:sz="4" w:space="0"/>
              <w:bottom w:val="single" w:color="000000" w:sz="4" w:space="0"/>
              <w:right w:val="single" w:color="000000" w:sz="4" w:space="0"/>
            </w:tcBorders>
            <w:vAlign w:val="center"/>
          </w:tcPr>
          <w:p w14:paraId="71119D75">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6822C225">
        <w:tblPrEx>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84C3D27">
            <w:pPr>
              <w:pStyle w:val="16"/>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color="000000" w:sz="4" w:space="0"/>
              <w:left w:val="single" w:color="000000" w:sz="4" w:space="0"/>
              <w:bottom w:val="single" w:color="000000" w:sz="4" w:space="0"/>
              <w:right w:val="single" w:color="000000" w:sz="4" w:space="0"/>
            </w:tcBorders>
            <w:vAlign w:val="center"/>
          </w:tcPr>
          <w:p w14:paraId="4FD2E186">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73801A6E">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87EF7EF">
            <w:pPr>
              <w:pStyle w:val="16"/>
              <w:spacing w:before="0" w:beforeAutospacing="0" w:after="120" w:afterAutospacing="0" w:line="0" w:lineRule="atLeast"/>
            </w:pPr>
            <w:r>
              <w:rPr>
                <w:rFonts w:ascii="Calibri" w:hAnsi="Calibri" w:cs="Calibri"/>
                <w:color w:val="000000"/>
              </w:rPr>
              <w:t>Day-4 design challenge completed</w:t>
            </w:r>
          </w:p>
        </w:tc>
        <w:tc>
          <w:tcPr>
            <w:tcW w:w="0" w:type="auto"/>
            <w:tcBorders>
              <w:top w:val="single" w:color="000000" w:sz="4" w:space="0"/>
              <w:left w:val="single" w:color="000000" w:sz="4" w:space="0"/>
              <w:bottom w:val="single" w:color="000000" w:sz="4" w:space="0"/>
              <w:right w:val="single" w:color="000000" w:sz="4" w:space="0"/>
            </w:tcBorders>
            <w:vAlign w:val="center"/>
          </w:tcPr>
          <w:p w14:paraId="59FA5447">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4D2866C0">
        <w:tblPrEx>
          <w:tblCellMar>
            <w:top w:w="15" w:type="dxa"/>
            <w:left w:w="15" w:type="dxa"/>
            <w:bottom w:w="15" w:type="dxa"/>
            <w:right w:w="15" w:type="dxa"/>
          </w:tblCellMar>
        </w:tblPrEx>
        <w:trPr>
          <w:trHeight w:val="47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482EAB8">
            <w:pPr>
              <w:pStyle w:val="16"/>
              <w:spacing w:before="0" w:beforeAutospacing="0" w:after="120" w:afterAutospacing="0" w:line="0" w:lineRule="atLeast"/>
            </w:pPr>
            <w:r>
              <w:rPr>
                <w:rFonts w:ascii="Calibri" w:hAnsi="Calibri" w:cs="Calibri"/>
                <w:color w:val="000000"/>
              </w:rPr>
              <w:t>Figures and screenshots included</w:t>
            </w:r>
          </w:p>
        </w:tc>
        <w:tc>
          <w:tcPr>
            <w:tcW w:w="0" w:type="auto"/>
            <w:tcBorders>
              <w:top w:val="single" w:color="000000" w:sz="4" w:space="0"/>
              <w:left w:val="single" w:color="000000" w:sz="4" w:space="0"/>
              <w:bottom w:val="single" w:color="000000" w:sz="4" w:space="0"/>
              <w:right w:val="single" w:color="000000" w:sz="4" w:space="0"/>
            </w:tcBorders>
            <w:vAlign w:val="center"/>
          </w:tcPr>
          <w:p w14:paraId="7D7358F3">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10461B90">
        <w:tblPrEx>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1FAB2FC">
            <w:pPr>
              <w:pStyle w:val="16"/>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color="000000" w:sz="4" w:space="0"/>
              <w:left w:val="single" w:color="000000" w:sz="4" w:space="0"/>
              <w:bottom w:val="single" w:color="000000" w:sz="4" w:space="0"/>
              <w:right w:val="single" w:color="000000" w:sz="4" w:space="0"/>
            </w:tcBorders>
            <w:vAlign w:val="center"/>
          </w:tcPr>
          <w:p w14:paraId="29B14238">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Partly </w:t>
            </w:r>
            <w:r>
              <w:rPr>
                <w:rFonts w:hint="eastAsia" w:ascii="MS Gothic" w:hAnsi="MS Gothic" w:eastAsia="MS Gothic" w:cs="MS Gothic"/>
                <w:color w:val="000000"/>
              </w:rPr>
              <w:t>☐</w:t>
            </w:r>
            <w:r>
              <w:rPr>
                <w:rFonts w:ascii="Calibri" w:hAnsi="Calibri" w:cs="Calibri"/>
                <w:color w:val="000000"/>
              </w:rPr>
              <w:t xml:space="preserve"> No</w:t>
            </w:r>
          </w:p>
        </w:tc>
      </w:tr>
      <w:tr w14:paraId="1A4E5F24">
        <w:tblPrEx>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C9C2625">
            <w:pPr>
              <w:pStyle w:val="16"/>
              <w:spacing w:before="0" w:beforeAutospacing="0" w:after="120" w:afterAutospacing="0" w:line="0" w:lineRule="atLeast"/>
            </w:pPr>
            <w:r>
              <w:rPr>
                <w:rFonts w:ascii="Calibri" w:hAnsi="Calibri" w:cs="Calibri"/>
                <w:color w:val="000000"/>
              </w:rPr>
              <w:t>Viva recommended</w:t>
            </w:r>
          </w:p>
        </w:tc>
        <w:tc>
          <w:tcPr>
            <w:tcW w:w="0" w:type="auto"/>
            <w:tcBorders>
              <w:top w:val="single" w:color="000000" w:sz="4" w:space="0"/>
              <w:left w:val="single" w:color="000000" w:sz="4" w:space="0"/>
              <w:bottom w:val="single" w:color="000000" w:sz="4" w:space="0"/>
              <w:right w:val="single" w:color="000000" w:sz="4" w:space="0"/>
            </w:tcBorders>
            <w:vAlign w:val="center"/>
          </w:tcPr>
          <w:p w14:paraId="3D705A8B">
            <w:pPr>
              <w:pStyle w:val="16"/>
              <w:spacing w:before="0" w:beforeAutospacing="0" w:after="120" w:afterAutospacing="0" w:line="0" w:lineRule="atLeast"/>
            </w:pPr>
            <w:r>
              <w:rPr>
                <w:rFonts w:hint="eastAsia" w:ascii="MS Gothic" w:hAnsi="MS Gothic" w:eastAsia="MS Gothic" w:cs="MS Gothic"/>
                <w:color w:val="000000"/>
              </w:rPr>
              <w:t>☒</w:t>
            </w:r>
            <w:r>
              <w:rPr>
                <w:rFonts w:ascii="Calibri" w:hAnsi="Calibri" w:cs="Calibri"/>
                <w:color w:val="000000"/>
              </w:rPr>
              <w:t xml:space="preserve"> Yes </w:t>
            </w:r>
            <w:r>
              <w:rPr>
                <w:rFonts w:hint="eastAsia" w:ascii="MS Gothic" w:hAnsi="MS Gothic" w:eastAsia="MS Gothic" w:cs="MS Gothic"/>
                <w:color w:val="000000"/>
              </w:rPr>
              <w:t>☐</w:t>
            </w:r>
            <w:r>
              <w:rPr>
                <w:rFonts w:ascii="Calibri" w:hAnsi="Calibri" w:cs="Calibri"/>
                <w:color w:val="000000"/>
              </w:rPr>
              <w:t xml:space="preserve"> No</w:t>
            </w:r>
          </w:p>
        </w:tc>
      </w:tr>
    </w:tbl>
    <w:p w14:paraId="477FDA38">
      <w:pPr>
        <w:spacing w:after="160" w:line="259" w:lineRule="auto"/>
        <w:rPr>
          <w:b/>
          <w:bCs/>
          <w:sz w:val="28"/>
          <w:szCs w:val="28"/>
        </w:rPr>
      </w:pPr>
      <w:r>
        <w:br w:type="textWrapping"/>
      </w:r>
      <w:r>
        <w:br w:type="textWrapping"/>
      </w:r>
    </w:p>
    <w:p w14:paraId="20EE1AE7">
      <w:pPr>
        <w:spacing w:after="160" w:line="259" w:lineRule="auto"/>
        <w:rPr>
          <w:b/>
          <w:bCs/>
          <w:sz w:val="28"/>
          <w:szCs w:val="28"/>
        </w:rPr>
      </w:pPr>
      <w:r>
        <w:rPr>
          <w:b/>
          <w:bCs/>
          <w:sz w:val="28"/>
          <w:szCs w:val="28"/>
        </w:rPr>
        <w:br w:type="page"/>
      </w:r>
    </w:p>
    <w:p w14:paraId="0E140288">
      <w:pPr>
        <w:spacing w:after="200"/>
        <w:rPr>
          <w:sz w:val="28"/>
          <w:szCs w:val="28"/>
        </w:rPr>
      </w:pPr>
      <w:r>
        <w:rPr>
          <w:b/>
          <w:bCs/>
          <w:sz w:val="28"/>
          <w:szCs w:val="28"/>
        </w:rPr>
        <w:t>CSA15 – Cloud Computing and Big Data Analytics</w:t>
      </w:r>
    </w:p>
    <w:p w14:paraId="30B1D208">
      <w:pPr>
        <w:spacing w:after="120"/>
        <w:rPr>
          <w:sz w:val="22"/>
          <w:szCs w:val="22"/>
        </w:rPr>
      </w:pPr>
      <w:r>
        <w:rPr>
          <w:b/>
          <w:bCs/>
        </w:rPr>
        <w:t>ASSIGNMENT 1</w:t>
      </w:r>
    </w:p>
    <w:p w14:paraId="30D34058">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mc:AlternateContent>
          <mc:Choice Requires="wpg">
            <w:drawing>
              <wp:anchor distT="0" distB="0" distL="0" distR="0" simplePos="0" relativeHeight="251659264" behindDoc="0" locked="0" layoutInCell="1" allowOverlap="1">
                <wp:simplePos x="0" y="0"/>
                <wp:positionH relativeFrom="column">
                  <wp:posOffset>152400</wp:posOffset>
                </wp:positionH>
                <wp:positionV relativeFrom="paragraph">
                  <wp:posOffset>718185</wp:posOffset>
                </wp:positionV>
                <wp:extent cx="5734685" cy="203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1F066BEC"/>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12pt;margin-top:56.55pt;height:1.6pt;width:451.55pt;mso-wrap-distance-bottom:0pt;mso-wrap-distance-top:0pt;z-index:251659264;mso-width-relative:page;mso-height-relative:page;" coordorigin="2478650,3769825" coordsize="5734700,20325" o:gfxdata="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">
                <o:lock v:ext="edit" aspectratio="f"/>
                <v:group id="_x0000_s1026" o:spid="_x0000_s1026" o:spt="203" style="position:absolute;left:2478658;top:3769840;height:20300;width:5734989;" coordsize="5734989,20300" o:gfxdata="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YuowwwgAAAOMAAAAPAAAAAAAAAAEAIAAAACIAAABkcnMvZG93bnJl&#10;di54bWxQSwECFAAUAAAACACHTuJAMy8FnjsAAAA5AAAAFQAAAAAAAAABACAAAAARAQAAZHJzL2dy&#10;b3Vwc2hhcGV4bWwueG1sUEsFBgAAAAAGAAYAYAEAAM4DAAAAAA==&#10;">
                  <o:lock v:ext="edit" aspectratio="f"/>
                  <v:rect id="_x0000_s1026" o:spid="_x0000_s1026" o:spt="1" style="position:absolute;left:0;top:0;height:20300;width:5734675;v-text-anchor:middle;" filled="f" stroked="f" coordsize="21600,21600" o:gfxdata="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ZAe9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1F066BEC"/>
                      </w:txbxContent>
                    </v:textbox>
                  </v:rect>
                  <v:shape id="Freeform: Shape 1623996741" o:spid="_x0000_s1026" o:spt="100" style="position:absolute;left:0;top:0;height:19685;width:5733415;v-text-anchor:middle;" fillcolor="#9F9F9F" filled="t" stroked="f" coordsize="5733415,19685" o:gfxdata="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OF&#10;J7nCAAAA4wAAAA8AAAAAAAAAAQAgAAAAIgAAAGRycy9kb3ducmV2LnhtbFBLAQIUABQAAAAIAIdO&#10;4kAzLwWeOwAAADkAAAAQAAAAAAAAAAEAIAAAABEBAABkcnMvc2hhcGV4bWwueG1sUEsFBgAAAAAG&#10;AAYAWwEAALsDAAAAAA==&#10;" path="m5733415,0l0,0,0,19685,5733415,19685,5733415,0xe">
                    <v:fill on="t" focussize="0,0"/>
                    <v:stroke on="f"/>
                    <v:imagedata o:title=""/>
                    <o:lock v:ext="edit" aspectratio="f"/>
                    <v:textbox inset="7.1988188976378pt,7.1988188976378pt,7.1988188976378pt,7.1988188976378pt"/>
                  </v:shape>
                  <v:shape id="Freeform: Shape 281296869" o:spid="_x0000_s1026" o:spt="100" style="position:absolute;left:5731509;top:126;height:3175;width:3175;v-text-anchor:middle;" fillcolor="#E2E2E2" filled="t" stroked="f" coordsize="3175,3175" o:gfxdata="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ltV&#10;KsEAAADiAAAADwAAAAAAAAABACAAAAAiAAAAZHJzL2Rvd25yZXYueG1sUEsBAhQAFAAAAAgAh07i&#10;QDMvBZ47AAAAOQAAABAAAAAAAAAAAQAgAAAAEAEAAGRycy9zaGFwZXhtbC54bWxQSwUGAAAAAAYA&#10;BgBbAQAAugMAAAAA&#10;" path="m3047,0l0,0,0,3048,3047,3048,3047,0xe">
                    <v:fill on="t" focussize="0,0"/>
                    <v:stroke on="f"/>
                    <v:imagedata o:title=""/>
                    <o:lock v:ext="edit" aspectratio="f"/>
                    <v:textbox inset="7.1988188976378pt,7.1988188976378pt,7.1988188976378pt,7.1988188976378pt"/>
                  </v:shape>
                  <v:shape id="Freeform: Shape 1519804078" o:spid="_x0000_s1026" o:spt="100" style="position:absolute;left:304;top:126;height:17145;width:5734685;v-text-anchor:middle;" fillcolor="#9F9F9F" filled="t" stroked="f" coordsize="5734685,17145" o:gfxdata="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77f37FAAAA4wAAAA8AAAAAAAAAAQAgAAAAIgAAAGRycy9kb3ducmV2LnhtbFBLAQIUABQAAAAI&#10;AIdO4kAzLwWeOwAAADkAAAAQAAAAAAAAAAEAIAAAABQBAABkcnMvc2hhcGV4bWwueG1sUEsFBgAA&#10;AAAGAAYAWwEAAL4DAAAAAA==&#10;" path="m3048,3048l0,3048,0,16764,3048,16764,3048,3048xem5734240,0l5731192,0,5731192,3048,5734240,3048,5734240,0xe">
                    <v:fill on="t" focussize="0,0"/>
                    <v:stroke on="f"/>
                    <v:imagedata o:title=""/>
                    <o:lock v:ext="edit" aspectratio="f"/>
                    <v:textbox inset="7.1988188976378pt,7.1988188976378pt,7.1988188976378pt,7.1988188976378pt"/>
                  </v:shape>
                  <v:shape id="Freeform: Shape 1149789867" o:spid="_x0000_s1026" o:spt="100" style="position:absolute;left:5731509;top:3175;height:13970;width:3175;v-text-anchor:middle;" fillcolor="#E2E2E2" filled="t" stroked="f" coordsize="3175,13970" o:gfxdata="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h8&#10;dMEAAADjAAAADwAAAAAAAAABACAAAAAiAAAAZHJzL2Rvd25yZXYueG1sUEsBAhQAFAAAAAgAh07i&#10;QDMvBZ47AAAAOQAAABAAAAAAAAAAAQAgAAAAEAEAAGRycy9zaGFwZXhtbC54bWxQSwUGAAAAAAYA&#10;BgBbAQAAugMAAAAA&#10;" path="m3047,0l0,0,0,13716,3047,13716,3047,0xe">
                    <v:fill on="t" focussize="0,0"/>
                    <v:stroke on="f"/>
                    <v:imagedata o:title=""/>
                    <o:lock v:ext="edit" aspectratio="f"/>
                    <v:textbox inset="7.1988188976378pt,7.1988188976378pt,7.1988188976378pt,7.1988188976378pt"/>
                  </v:shape>
                  <v:shape id="Freeform: Shape 2133821718" o:spid="_x0000_s1026" o:spt="100" style="position:absolute;left:304;top:16891;height:3175;width:3175;v-text-anchor:middle;" fillcolor="#9F9F9F" filled="t" stroked="f" coordsize="3175,3175" o:gfxdata="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p&#10;WDrCAAAA4wAAAA8AAAAAAAAAAQAgAAAAIgAAAGRycy9kb3ducmV2LnhtbFBLAQIUABQAAAAIAIdO&#10;4kAzLwWeOwAAADkAAAAQAAAAAAAAAAEAIAAAABEBAABkcnMvc2hhcGV4bWwueG1sUEsFBgAAAAAG&#10;AAYAWwEAALsDAAAAAA==&#10;" path="m3047,0l0,0,0,3047,3047,3047,3047,0xe">
                    <v:fill on="t" focussize="0,0"/>
                    <v:stroke on="f"/>
                    <v:imagedata o:title=""/>
                    <o:lock v:ext="edit" aspectratio="f"/>
                    <v:textbox inset="7.1988188976378pt,7.1988188976378pt,7.1988188976378pt,7.1988188976378pt"/>
                  </v:shape>
                  <v:shape id="Freeform: Shape 1397912389" o:spid="_x0000_s1026" o:spt="100" style="position:absolute;left:304;top:16903;height:3175;width:5734685;v-text-anchor:middle;" fillcolor="#E2E2E2" filled="t" stroked="f" coordsize="5734685,3175" o:gfxdata="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Ok&#10;6TLCAAAA4wAAAA8AAAAAAAAAAQAgAAAAIgAAAGRycy9kb3ducmV2LnhtbFBLAQIUABQAAAAIAIdO&#10;4kAzLwWeOwAAADkAAAAQAAAAAAAAAAEAIAAAABEBAABkcnMvc2hhcGV4bWwueG1sUEsFBgAAAAAG&#10;AAYAWwEAALsDAAAAAA==&#10;" path="m5731129,0l3048,0,0,0,0,3035,3048,3035,5731129,3035,5731129,0xem5734240,0l5731192,0,5731192,3035,5734240,3035,5734240,0xe">
                    <v:fill on="t" focussize="0,0"/>
                    <v:stroke on="f"/>
                    <v:imagedata o:title=""/>
                    <o:lock v:ext="edit" aspectratio="f"/>
                    <v:textbox inset="7.1988188976378pt,7.1988188976378pt,7.1988188976378pt,7.1988188976378pt"/>
                  </v:shape>
                </v:group>
                <w10:wrap type="topAndBottom"/>
              </v:group>
            </w:pict>
          </mc:Fallback>
        </mc:AlternateContent>
      </w:r>
    </w:p>
    <w:p w14:paraId="335835BA">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14:paraId="5A11FE87">
      <w:pPr>
        <w:keepNext/>
        <w:pBdr>
          <w:bottom w:val="single" w:color="000000" w:sz="6" w:space="1"/>
        </w:pBdr>
        <w:spacing w:before="280" w:after="120"/>
      </w:pPr>
      <w:r>
        <w:t>Duration:</w:t>
      </w:r>
      <w:r>
        <w:rPr>
          <w:b/>
          <w:bCs/>
        </w:rPr>
        <w:t xml:space="preserve"> </w:t>
      </w:r>
      <w:r>
        <w:t>1 week</w:t>
      </w:r>
    </w:p>
    <w:p w14:paraId="7F5E78B3">
      <w:pPr>
        <w:keepNext/>
        <w:spacing w:before="280" w:after="120"/>
      </w:pPr>
      <w:r>
        <w:rPr>
          <w:b/>
          <w:bCs/>
        </w:rPr>
        <w:t>Scenario – Smart Campus Cloud Migration</w:t>
      </w:r>
    </w:p>
    <w:p w14:paraId="66496E4D">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2A1962CE">
      <w:pPr>
        <w:spacing w:after="120" w:line="300" w:lineRule="auto"/>
      </w:pPr>
      <w:r>
        <w:t>The university's current environment is:</w:t>
      </w:r>
    </w:p>
    <w:p w14:paraId="2AF042B8">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rPr>
          <w:color w:val="000000"/>
        </w:rPr>
      </w:pPr>
      <w:r>
        <w:rPr>
          <w:color w:val="000000"/>
        </w:rPr>
        <w:t>12 physical servers, average CPU utilisation of about 15%, with peaks above 95% during admissions and exams</w:t>
      </w:r>
    </w:p>
    <w:p w14:paraId="5E3C441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rPr>
          <w:color w:val="000000"/>
        </w:rPr>
      </w:pPr>
      <w:r>
        <w:rPr>
          <w:color w:val="000000"/>
        </w:rPr>
        <w:t>Approximately 25,000 students and 2,000 staff across 4 campuses</w:t>
      </w:r>
    </w:p>
    <w:p w14:paraId="490C14FF">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rPr>
          <w:color w:val="000000"/>
        </w:rPr>
      </w:pPr>
      <w:r>
        <w:rPr>
          <w:color w:val="000000"/>
        </w:rPr>
        <w:t>Applications built as large monolithic programs, with no public interfaces for mobile apps or partner colleges</w:t>
      </w:r>
    </w:p>
    <w:p w14:paraId="6F8E45CA">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rPr>
          <w:color w:val="000000"/>
        </w:rPr>
      </w:pPr>
      <w:r>
        <w:rPr>
          <w:color w:val="000000"/>
        </w:rPr>
        <w:t>High capital expenditure, slow procurement (6–8 weeks per server) and no disaster recovery site</w:t>
      </w:r>
    </w:p>
    <w:p w14:paraId="40183757">
      <w:pPr>
        <w:spacing w:after="120" w:line="300" w:lineRule="auto"/>
      </w:pPr>
      <w: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14:paraId="7C0FE03D">
      <w:pPr>
        <w:keepNext/>
        <w:spacing w:before="280" w:after="120"/>
      </w:pPr>
      <w:r>
        <w:rPr>
          <w:b/>
          <w:bCs/>
        </w:rPr>
        <w:t>Design Challenge:</w:t>
      </w:r>
    </w:p>
    <w:p w14:paraId="081A89FC">
      <w:pPr>
        <w:pBdr>
          <w:bottom w:val="single" w:color="000000" w:sz="12" w:space="1"/>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7D2C4BE7">
      <w:pPr>
        <w:keepNext/>
        <w:spacing w:before="280" w:after="120"/>
        <w:rPr>
          <w:b/>
          <w:bCs/>
        </w:rPr>
      </w:pPr>
      <w:r>
        <w:rPr>
          <w:b/>
          <w:bCs/>
        </w:rPr>
        <w:t xml:space="preserve">TASK 1 – Introduce Cloud Computing and Map It to the Scenario   (3 Marks) </w:t>
      </w:r>
    </w:p>
    <w:p w14:paraId="2768E870">
      <w:pPr>
        <w:spacing w:after="120" w:line="300" w:lineRule="auto"/>
      </w:pPr>
      <w:r>
        <w:t>Design and Propose cloud computing model for the context of the university's problems.</w:t>
      </w:r>
    </w:p>
    <w:p w14:paraId="7EA9CC8D">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Definition of cloud computing and the five essential characteristics (on-demand self-service, broad network access, resource pooling, rapid elasticity, measured service)</w:t>
      </w:r>
    </w:p>
    <w:p w14:paraId="5319427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Deployment models (public, private, hybrid, community) and which one suits the university</w:t>
      </w:r>
    </w:p>
    <w:p w14:paraId="0B16E7C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Three problems of the current on-premise setup and how each cloud characteristic addresses them</w:t>
      </w:r>
    </w:p>
    <w:p w14:paraId="08C5B6E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Benefits and limitations of cloud adoption for the university</w:t>
      </w:r>
    </w:p>
    <w:p w14:paraId="24056819">
      <w:pPr>
        <w:keepNext/>
        <w:spacing w:before="280" w:after="120"/>
      </w:pPr>
      <w:r>
        <w:rPr>
          <w:b/>
          <w:bCs/>
        </w:rPr>
        <w:t>Evidence Expected</w:t>
      </w:r>
    </w:p>
    <w:p w14:paraId="7E774DD0">
      <w:pPr>
        <w:pBdr>
          <w:bottom w:val="single" w:color="000000" w:sz="12" w:space="1"/>
        </w:pBdr>
        <w:spacing w:after="120" w:line="300" w:lineRule="auto"/>
      </w:pPr>
      <w:r>
        <w:t>A clear explanation of cloud characteristics and deployment models, mapped to the university's actual problems.</w:t>
      </w:r>
    </w:p>
    <w:p w14:paraId="41F11062">
      <w:pPr>
        <w:keepNext/>
        <w:spacing w:before="280" w:after="120"/>
      </w:pPr>
      <w:r>
        <w:rPr>
          <w:b/>
          <w:bCs/>
          <w:sz w:val="26"/>
          <w:szCs w:val="26"/>
        </w:rPr>
        <w:t xml:space="preserve">TASK 2 – Trace the Evolution and Hardware Evolution   (3 Marks) </w:t>
      </w:r>
    </w:p>
    <w:p w14:paraId="580E6820">
      <w:pPr>
        <w:spacing w:after="120" w:line="300" w:lineRule="auto"/>
      </w:pPr>
      <w:r>
        <w:t>Trace how computing infrastructure evolved to make cloud computing possible.</w:t>
      </w:r>
    </w:p>
    <w:p w14:paraId="3BBD7C6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A timeline from mainframes, minicomputers and PCs, to client–server, clusters, grid computing, utility computing and cloud</w:t>
      </w:r>
    </w:p>
    <w:p w14:paraId="6F59462A">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Hardware evolution: multi-core processors, commodity servers, high-capacity storage, high-speed networking and data centres</w:t>
      </w:r>
    </w:p>
    <w:p w14:paraId="4EE5AA8C">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How each stage solved a limitation of the previous one</w:t>
      </w:r>
    </w:p>
    <w:p w14:paraId="5BCCAF46">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Which stage the university's current system corresponds to, with reasons</w:t>
      </w:r>
    </w:p>
    <w:p w14:paraId="566CF847">
      <w:pPr>
        <w:keepNext/>
        <w:spacing w:before="280" w:after="120"/>
      </w:pPr>
      <w:r>
        <w:rPr>
          <w:b/>
          <w:bCs/>
        </w:rPr>
        <w:t>Evidence Expected</w:t>
      </w:r>
    </w:p>
    <w:p w14:paraId="2D7DB28E">
      <w:pPr>
        <w:pBdr>
          <w:bottom w:val="single" w:color="000000" w:sz="12" w:space="1"/>
        </w:pBdr>
        <w:spacing w:after="120" w:line="300" w:lineRule="auto"/>
      </w:pPr>
      <w:r>
        <w:t>A labelled timeline or diagram, with a justified explanation of how hardware advances enabled the cloud.</w:t>
      </w:r>
    </w:p>
    <w:p w14:paraId="4A37C79A">
      <w:pPr>
        <w:keepNext/>
        <w:spacing w:before="280" w:after="120"/>
      </w:pPr>
      <w:r>
        <w:rPr>
          <w:b/>
          <w:bCs/>
          <w:sz w:val="26"/>
          <w:szCs w:val="26"/>
        </w:rPr>
        <w:t>TASK 3 – Analyse Internet Software Evolution   (3 Marks)</w:t>
      </w:r>
    </w:p>
    <w:p w14:paraId="58F14CDD">
      <w:pPr>
        <w:spacing w:after="120" w:line="300" w:lineRule="auto"/>
      </w:pPr>
      <w:r>
        <w:t>Explain how internet software evolved and why it supports cloud services.</w:t>
      </w:r>
    </w:p>
    <w:p w14:paraId="3C1EA608">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Evolution from static web pages to dynamic web, Web 2.0, SOA, mashups and cloud-hosted applications</w:t>
      </w:r>
    </w:p>
    <w:p w14:paraId="7ED4626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Role of browsers, HTTP, AJAX and APIs in delivering software over the internet</w:t>
      </w:r>
    </w:p>
    <w:p w14:paraId="34CF55DE">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Comparison between desktop software, client–server software and web-delivered software</w:t>
      </w:r>
    </w:p>
    <w:p w14:paraId="111E00B1">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How this evolution affects the design of the university's applications</w:t>
      </w:r>
    </w:p>
    <w:p w14:paraId="470D2E03">
      <w:pPr>
        <w:keepNext/>
        <w:spacing w:before="280" w:after="120"/>
      </w:pPr>
      <w:r>
        <w:rPr>
          <w:b/>
          <w:bCs/>
        </w:rPr>
        <w:t>Evidence Expected</w:t>
      </w:r>
    </w:p>
    <w:p w14:paraId="5FAB0D44">
      <w:pPr>
        <w:pBdr>
          <w:bottom w:val="single" w:color="000000" w:sz="12" w:space="1"/>
        </w:pBdr>
        <w:spacing w:after="120" w:line="300" w:lineRule="auto"/>
      </w:pPr>
      <w:r>
        <w:t>A comparative explanation of software evolution stages, linked to the university's application design.</w:t>
      </w:r>
    </w:p>
    <w:p w14:paraId="4028E449">
      <w:pPr>
        <w:keepNext/>
        <w:spacing w:before="280" w:after="120"/>
      </w:pPr>
      <w:r>
        <w:rPr>
          <w:b/>
          <w:bCs/>
          <w:sz w:val="26"/>
          <w:szCs w:val="26"/>
        </w:rPr>
        <w:t>TASK 4 – Apply Server Virtualization   (5 Marks)</w:t>
      </w:r>
    </w:p>
    <w:p w14:paraId="7BCAA4A6">
      <w:pPr>
        <w:spacing w:after="120" w:line="300" w:lineRule="auto"/>
        <w:jc w:val="both"/>
      </w:pPr>
      <w:r>
        <w:t>Apply server virtualization to consolidate the university's 12 physical servers.</w:t>
      </w:r>
    </w:p>
    <w:p w14:paraId="281B763B">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Explain how a hypervisor works, and distinguish Type-1 and Type-2 hypervisors, with examples</w:t>
      </w:r>
    </w:p>
    <w:p w14:paraId="40938E13">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Compare full virtualization, para-virtualization, OS-level virtualization (containers) and hardware-assisted virtualization</w:t>
      </w:r>
    </w:p>
    <w:p w14:paraId="77BE442B">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Propose which applications should run as virtual machines and which as containers, with reasons</w:t>
      </w:r>
    </w:p>
    <w:p w14:paraId="594A1A95">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14:paraId="0AEAB4CD">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Discuss live migration, snapshots and resource over-commitment as benefits, and the risks of virtualization (noisy neighbour, hypervisor failure, security isolation)</w:t>
      </w:r>
    </w:p>
    <w:p w14:paraId="6926DAD0">
      <w:pPr>
        <w:spacing w:after="120" w:line="300" w:lineRule="auto"/>
      </w:pPr>
      <w:r>
        <w:rPr>
          <w:b/>
          <w:bCs/>
        </w:rPr>
        <w:t>Show your calculation. A final number without working will not receive full credit.</w:t>
      </w:r>
    </w:p>
    <w:p w14:paraId="12A53C33">
      <w:pPr>
        <w:keepNext/>
        <w:spacing w:before="280" w:after="120"/>
      </w:pPr>
      <w:r>
        <w:rPr>
          <w:b/>
          <w:bCs/>
        </w:rPr>
        <w:t>Evidence Expected</w:t>
      </w:r>
    </w:p>
    <w:p w14:paraId="680333D0">
      <w:pPr>
        <w:pBdr>
          <w:bottom w:val="single" w:color="000000" w:sz="12" w:space="1"/>
        </w:pBdr>
        <w:spacing w:after="120" w:line="300" w:lineRule="auto"/>
      </w:pPr>
      <w:r>
        <w:t>A justified virtualization plan with a worked consolidation calculation and discussion of benefits and risks.</w:t>
      </w:r>
    </w:p>
    <w:p w14:paraId="5DE790BF">
      <w:pPr>
        <w:keepNext/>
        <w:spacing w:before="280" w:after="120"/>
      </w:pPr>
      <w:r>
        <w:rPr>
          <w:b/>
          <w:bCs/>
          <w:sz w:val="26"/>
          <w:szCs w:val="26"/>
        </w:rPr>
        <w:t>TASK 5 – Apply Web Services   (4 Marks)</w:t>
      </w:r>
    </w:p>
    <w:p w14:paraId="17A8D597">
      <w:pPr>
        <w:spacing w:after="120" w:line="300" w:lineRule="auto"/>
      </w:pPr>
      <w:r>
        <w:t>Analyse  web services to expose the university's functions to other systems.</w:t>
      </w:r>
    </w:p>
    <w:p w14:paraId="4316D267">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Overview of web services and their role in cloud and SOA</w:t>
      </w:r>
    </w:p>
    <w:p w14:paraId="5D929D5F">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Compare SOAP, WSDL, UDDI and RESTful services (HTTP methods, JSON/XML)</w:t>
      </w:r>
    </w:p>
    <w:p w14:paraId="5CAC2B3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14:paraId="5401BCEF">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Justify whether SOAP or REST is more suitable for each function</w:t>
      </w:r>
    </w:p>
    <w:p w14:paraId="61B9F743">
      <w:pPr>
        <w:keepNext/>
        <w:spacing w:before="280" w:after="120"/>
      </w:pPr>
      <w:r>
        <w:rPr>
          <w:b/>
          <w:bCs/>
        </w:rPr>
        <w:t>Evidence Expected</w:t>
      </w:r>
    </w:p>
    <w:p w14:paraId="364FA865">
      <w:pPr>
        <w:pBdr>
          <w:bottom w:val="single" w:color="000000" w:sz="12" w:space="1"/>
        </w:pBdr>
        <w:spacing w:after="120" w:line="300" w:lineRule="auto"/>
      </w:pPr>
      <w:r>
        <w:t>A defined set of web services with sample request/response formats and a justified choice of SOAP or REST</w:t>
      </w:r>
    </w:p>
    <w:p w14:paraId="28FC097A">
      <w:pPr>
        <w:keepNext/>
        <w:spacing w:before="280" w:after="120"/>
      </w:pPr>
      <w:r>
        <w:rPr>
          <w:b/>
          <w:bCs/>
          <w:sz w:val="26"/>
          <w:szCs w:val="26"/>
        </w:rPr>
        <w:t>TASK 6 – Analyse the Service Models: IaaS, PaaS and SaaS   (5 Marks)</w:t>
      </w:r>
    </w:p>
    <w:p w14:paraId="68045E8A">
      <w:pPr>
        <w:spacing w:after="120" w:line="300" w:lineRule="auto"/>
      </w:pPr>
      <w:r>
        <w:t>Analyse which service model fits each university application.</w:t>
      </w:r>
    </w:p>
    <w:p w14:paraId="0AABD071">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Define IaaS, PaaS and SaaS, and show who manages which layer (hardware to application) in each model</w:t>
      </w:r>
    </w:p>
    <w:p w14:paraId="7C683FA3">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Categorise the five university applications (SIS, LMS, Library, Exam Portal, Email) into IaaS, PaaS or SaaS, with reasons</w:t>
      </w:r>
    </w:p>
    <w:p w14:paraId="465E4015">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Compare the models on control, cost, scalability, maintenance effort and vendor lock-in</w:t>
      </w:r>
    </w:p>
    <w:p w14:paraId="28CD46D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Give one real provider example for each model</w:t>
      </w:r>
    </w:p>
    <w:p w14:paraId="66226397">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14:paraId="50538360">
      <w:pPr>
        <w:keepNext/>
        <w:spacing w:before="280" w:after="120"/>
      </w:pPr>
      <w:r>
        <w:rPr>
          <w:b/>
          <w:bCs/>
        </w:rPr>
        <w:t>Evidence Expected</w:t>
      </w:r>
    </w:p>
    <w:p w14:paraId="2EE3ECD1">
      <w:pPr>
        <w:pBdr>
          <w:bottom w:val="single" w:color="000000" w:sz="12" w:space="1"/>
        </w:pBdr>
        <w:spacing w:after="120" w:line="300" w:lineRule="auto"/>
      </w:pPr>
      <w:r>
        <w:t>A reasoned mapping of applications to service models, supported by a layer-wise responsibility comparison.</w:t>
      </w:r>
    </w:p>
    <w:p w14:paraId="7900D9D3">
      <w:pPr>
        <w:keepNext/>
        <w:spacing w:before="280" w:after="120"/>
      </w:pPr>
      <w:r>
        <w:rPr>
          <w:b/>
          <w:bCs/>
          <w:sz w:val="26"/>
          <w:szCs w:val="26"/>
        </w:rPr>
        <w:t>TASK 7 – Examine XaaS   (3 Marks)</w:t>
      </w:r>
    </w:p>
    <w:p w14:paraId="30B173EE">
      <w:pPr>
        <w:spacing w:after="120" w:line="300" w:lineRule="auto"/>
      </w:pPr>
      <w:r>
        <w:t>Examine the broader XaaS (Anything-as-a-Service) concept for the university.</w:t>
      </w:r>
    </w:p>
    <w:p w14:paraId="22B94A1A">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Explain XaaS and describe at least four variants (for example DaaS, BaaS/MBaaS, FaaS, DBaaS, Security-as-a-Service, Disaster-Recovery-as-a-Service)</w:t>
      </w:r>
    </w:p>
    <w:p w14:paraId="395C9CB7">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Select two XaaS offerings that would benefit the university, and justify them</w:t>
      </w:r>
    </w:p>
    <w:p w14:paraId="30F4E715">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Discuss the risks of over-reliance on multiple 'as-a-Service' providers</w:t>
      </w:r>
    </w:p>
    <w:p w14:paraId="3E51D8DC">
      <w:pPr>
        <w:keepNext/>
        <w:spacing w:before="280" w:after="120"/>
      </w:pPr>
      <w:r>
        <w:rPr>
          <w:b/>
          <w:bCs/>
        </w:rPr>
        <w:t>Evidence Expected</w:t>
      </w:r>
    </w:p>
    <w:p w14:paraId="64F94DA8">
      <w:pPr>
        <w:pBdr>
          <w:bottom w:val="single" w:color="000000" w:sz="12" w:space="1"/>
        </w:pBdr>
        <w:spacing w:after="120" w:line="300" w:lineRule="auto"/>
      </w:pPr>
      <w:r>
        <w:t>An analysis of XaaS variants, with justified selection of two offerings for the university.</w:t>
      </w:r>
    </w:p>
    <w:p w14:paraId="4B2508C9">
      <w:pPr>
        <w:keepNext/>
        <w:spacing w:before="280" w:after="120"/>
      </w:pPr>
      <w:r>
        <w:rPr>
          <w:b/>
          <w:bCs/>
          <w:sz w:val="26"/>
          <w:szCs w:val="26"/>
        </w:rPr>
        <w:t>TASK 8 – Design the Cloud Solution Architecture   (5 Marks)</w:t>
      </w:r>
    </w:p>
    <w:p w14:paraId="66CEF04B">
      <w:pPr>
        <w:spacing w:after="120" w:line="300" w:lineRule="auto"/>
      </w:pPr>
      <w:r>
        <w:rPr>
          <w:b/>
          <w:bCs/>
        </w:rPr>
        <w:t xml:space="preserve">Bloom's Level: </w:t>
      </w:r>
      <w:r>
        <w:t>Level 6 – Create</w:t>
      </w:r>
      <w:r>
        <w:rPr>
          <w:i/>
          <w:iCs/>
        </w:rPr>
        <w:t xml:space="preserve">  |  Action verbs: Design, Construct, Propose</w:t>
      </w:r>
    </w:p>
    <w:p w14:paraId="2BE54EF4">
      <w:pPr>
        <w:spacing w:after="120" w:line="300" w:lineRule="auto"/>
      </w:pPr>
      <w:r>
        <w:t>Create a complete cloud architecture for the university by combining virtualization, web services and service models.</w:t>
      </w:r>
    </w:p>
    <w:p w14:paraId="1712BB16">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An architecture diagram showing users, load balancer, web/application tier, database tier, storage, API layer and DR region</w:t>
      </w:r>
    </w:p>
    <w:p w14:paraId="44A009AB">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The deployment model and the service model chosen for each component</w:t>
      </w:r>
    </w:p>
    <w:p w14:paraId="4A9FB45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How elasticity (auto-scaling) will handle admissions and exam peaks</w:t>
      </w:r>
    </w:p>
    <w:p w14:paraId="6BD58767">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Basic security and availability measures (access control, encryption, backup, multi-zone deployment)</w:t>
      </w:r>
    </w:p>
    <w:p w14:paraId="79B85D8B">
      <w:pPr>
        <w:keepNext/>
        <w:spacing w:before="280" w:after="120"/>
      </w:pPr>
      <w:r>
        <w:rPr>
          <w:b/>
          <w:bCs/>
        </w:rPr>
        <w:t>Evidence Expected</w:t>
      </w:r>
    </w:p>
    <w:p w14:paraId="30E9A9B0">
      <w:pPr>
        <w:pBdr>
          <w:bottom w:val="single" w:color="000000" w:sz="12" w:space="1"/>
        </w:pBdr>
        <w:spacing w:after="120" w:line="300" w:lineRule="auto"/>
      </w:pPr>
      <w:r>
        <w:t>A labelled architecture diagram with written justification for each component and design decision.</w:t>
      </w:r>
    </w:p>
    <w:p w14:paraId="0F1F9916">
      <w:pPr>
        <w:keepNext/>
        <w:spacing w:before="280" w:after="120"/>
      </w:pPr>
      <w:r>
        <w:rPr>
          <w:b/>
          <w:bCs/>
          <w:sz w:val="26"/>
          <w:szCs w:val="26"/>
        </w:rPr>
        <w:t>TASK 9 – Hands-on Implementation and Documentation   (4 Marks)</w:t>
      </w:r>
    </w:p>
    <w:p w14:paraId="4A4093CB">
      <w:pPr>
        <w:spacing w:after="120" w:line="300" w:lineRule="auto"/>
      </w:pPr>
      <w:r>
        <w:t>Implement a small proof-of-concept of your design using a free-tier cloud account or a local virtualization tool.</w:t>
      </w:r>
    </w:p>
    <w:p w14:paraId="2A72B26E">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Create a virtual machine or container (using AWS/Azure/GCP free tier, VirtualBox, or Docker) and host a simple web page or REST API for one university function</w:t>
      </w:r>
    </w:p>
    <w:p w14:paraId="0D33FE14">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Deploy a SaaS or PaaS component (for example a cloud-hosted database, a serverless function or a static site)</w:t>
      </w:r>
    </w:p>
    <w:p w14:paraId="1EA7101F">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Test the web service with a client (browser, Postman or curl) and record the output</w:t>
      </w:r>
    </w:p>
    <w:p w14:paraId="0A223A59">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Provide screenshots, configuration steps and any issues faced</w:t>
      </w:r>
    </w:p>
    <w:p w14:paraId="5E252DF0">
      <w:pPr>
        <w:keepNext/>
        <w:spacing w:before="280" w:after="120"/>
      </w:pPr>
      <w:r>
        <w:rPr>
          <w:b/>
          <w:bCs/>
        </w:rPr>
        <w:t>Evidence Expected</w:t>
      </w:r>
    </w:p>
    <w:p w14:paraId="53604693">
      <w:pPr>
        <w:pBdr>
          <w:bottom w:val="single" w:color="000000" w:sz="12" w:space="1"/>
        </w:pBdr>
        <w:spacing w:after="120" w:line="300" w:lineRule="auto"/>
      </w:pPr>
      <w:r>
        <w:t>Annotated screenshots and clear, reproducible steps showing that the proof-of-concept works.</w:t>
      </w:r>
    </w:p>
    <w:p w14:paraId="2F804EF1">
      <w:pPr>
        <w:keepNext/>
        <w:spacing w:before="280" w:after="120"/>
      </w:pPr>
      <w:r>
        <w:rPr>
          <w:b/>
          <w:bCs/>
          <w:sz w:val="26"/>
          <w:szCs w:val="26"/>
        </w:rPr>
        <w:t>TASK 10 – Evaluate and Recommend the Final Solution   (7 Marks)</w:t>
      </w:r>
    </w:p>
    <w:p w14:paraId="68614FB6">
      <w:pPr>
        <w:spacing w:after="120" w:line="300" w:lineRule="auto"/>
      </w:pPr>
      <w:r>
        <w:t>Evaluate your design and recommend the final cloud solution for the university.</w:t>
      </w:r>
    </w:p>
    <w:p w14:paraId="783BE2FD">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Compare on-premise, IaaS-based and PaaS/SaaS-based options on cost (CapEx vs OpEx), scalability, availability, security and effort</w:t>
      </w:r>
    </w:p>
    <w:p w14:paraId="2C7FF70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Estimate a simple 3-year cost comparison using stated assumptions</w:t>
      </w:r>
    </w:p>
    <w:p w14:paraId="443394D7">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Identify the main risks (vendor lock-in, data privacy, downtime, skills gap) and give mitigation steps</w:t>
      </w:r>
    </w:p>
    <w:p w14:paraId="09E1CDC8">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jc w:val="both"/>
      </w:pPr>
      <w:r>
        <w:rPr>
          <w:color w:val="000000"/>
        </w:rPr>
        <w:t>Provide your final recommendation and a short migration roadmap (which application moves first, and why)</w:t>
      </w:r>
    </w:p>
    <w:p w14:paraId="36A024AF">
      <w:pPr>
        <w:spacing w:after="120" w:line="300" w:lineRule="auto"/>
      </w:pPr>
      <w:r>
        <w:rPr>
          <w:b/>
          <w:bCs/>
        </w:rPr>
        <w:t>Your recommendation must be supported by the analysis in the previous tasks. Choosing a popular cloud provider without justification is not sufficient.</w:t>
      </w:r>
    </w:p>
    <w:p w14:paraId="38AC1BCD">
      <w:pPr>
        <w:keepNext/>
        <w:spacing w:before="280" w:after="120"/>
      </w:pPr>
      <w:r>
        <w:rPr>
          <w:b/>
          <w:bCs/>
        </w:rPr>
        <w:t>Evidence Expected</w:t>
      </w:r>
    </w:p>
    <w:p w14:paraId="3DB3533A">
      <w:pPr>
        <w:spacing w:after="120" w:line="300" w:lineRule="auto"/>
      </w:pPr>
      <w:r>
        <w:t>A technically justified recommendation, supported by a cost comparison, risk analysis and migration roadmap.</w:t>
      </w:r>
    </w:p>
    <w:p w14:paraId="238CA40D">
      <w:pPr>
        <w:keepNext/>
        <w:spacing w:before="280" w:after="120"/>
      </w:pPr>
      <w:r>
        <w:rPr>
          <w:b/>
          <w:bCs/>
          <w:sz w:val="28"/>
          <w:szCs w:val="28"/>
        </w:rPr>
        <w:t>DAY-4 DESIGN CHALLENGE</w:t>
      </w:r>
    </w:p>
    <w:p w14:paraId="657E413D">
      <w:pPr>
        <w:keepNext/>
        <w:spacing w:before="280" w:after="120"/>
      </w:pPr>
      <w:r>
        <w:rPr>
          <w:b/>
          <w:bCs/>
          <w:sz w:val="26"/>
          <w:szCs w:val="26"/>
        </w:rPr>
        <w:t>TASK 11 – Re-evaluate and Adapt the Design   (8 Marks)</w:t>
      </w:r>
    </w:p>
    <w:p w14:paraId="3799BC0B">
      <w:pPr>
        <w:keepNext/>
        <w:spacing w:before="280" w:after="120"/>
      </w:pPr>
      <w:r>
        <w:rPr>
          <w:b/>
          <w:bCs/>
        </w:rPr>
        <w:t>Changed Requirement</w:t>
      </w:r>
    </w:p>
    <w:p w14:paraId="1FCFC7A4">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14:paraId="012AA9A9">
      <w:pPr>
        <w:spacing w:after="120" w:line="300" w:lineRule="auto"/>
      </w:pPr>
      <w:r>
        <w:t>Re-evaluate your original design in response to these changed conditions. You may:</w:t>
      </w:r>
    </w:p>
    <w:p w14:paraId="5CBB6C05">
      <w:pPr>
        <w:spacing w:after="120" w:line="300" w:lineRule="auto"/>
        <w:jc w:val="center"/>
      </w:pPr>
      <w:sdt>
        <w:sdtPr>
          <w:tag w:val="goog_rdk_0"/>
          <w:id w:val="-190497838"/>
        </w:sdtPr>
        <w:sdtContent>
          <w:r>
            <w:rPr>
              <w:rFonts w:ascii="Arial Unicode MS" w:hAnsi="Arial Unicode MS" w:eastAsia="Arial Unicode MS" w:cs="Arial Unicode MS"/>
              <w:b/>
              <w:bCs/>
            </w:rPr>
            <w:t>RETAIN → MODIFY → or REDESIGN</w:t>
          </w:r>
        </w:sdtContent>
      </w:sdt>
    </w:p>
    <w:p w14:paraId="1D2BDB6E">
      <w:pPr>
        <w:spacing w:after="120" w:line="300" w:lineRule="auto"/>
      </w:pPr>
      <w:r>
        <w:t>your original solution.</w:t>
      </w:r>
    </w:p>
    <w:p w14:paraId="368DC136">
      <w:pPr>
        <w:keepNext/>
        <w:spacing w:before="280" w:after="120"/>
      </w:pPr>
      <w:r>
        <w:rPr>
          <w:b/>
          <w:bCs/>
        </w:rPr>
        <w:t>Impact Analysis – 2 Marks</w:t>
      </w:r>
    </w:p>
    <w:p w14:paraId="7739FB92">
      <w:pPr>
        <w:spacing w:after="120" w:line="300" w:lineRule="auto"/>
      </w:pPr>
      <w:r>
        <w:t>Discuss:</w:t>
      </w:r>
    </w:p>
    <w:p w14:paraId="067510C5">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What has changed from the original problem</w:t>
      </w:r>
    </w:p>
    <w:p w14:paraId="54110B7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Which original assumptions (load, users, availability, cost) are affected</w:t>
      </w:r>
    </w:p>
    <w:p w14:paraId="2CF0B888">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Why the web services and APIs now become critical</w:t>
      </w:r>
    </w:p>
    <w:p w14:paraId="29E40203">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How multi-tenant access by 40 colleges affects security and isolation</w:t>
      </w:r>
    </w:p>
    <w:p w14:paraId="2B2E074E">
      <w:pPr>
        <w:spacing w:after="120" w:line="300" w:lineRule="auto"/>
      </w:pPr>
      <w:r>
        <w:rPr>
          <w:b/>
          <w:bCs/>
        </w:rPr>
        <w:t xml:space="preserve">Evidence Expected: </w:t>
      </w:r>
      <w:r>
        <w:t>A clear analysis of how the changed requirements affect the original cloud design.</w:t>
      </w:r>
    </w:p>
    <w:p w14:paraId="1FDB097D">
      <w:pPr>
        <w:keepNext/>
        <w:spacing w:before="280" w:after="120"/>
      </w:pPr>
      <w:r>
        <w:rPr>
          <w:b/>
          <w:bCs/>
        </w:rPr>
        <w:t>Evaluation of the Original Design – 2 Marks</w:t>
      </w:r>
    </w:p>
    <w:p w14:paraId="3107C532">
      <w:pPr>
        <w:spacing w:after="120" w:line="300" w:lineRule="auto"/>
      </w:pPr>
      <w:r>
        <w:t>Discuss:</w:t>
      </w:r>
    </w:p>
    <w:p w14:paraId="1224DF44">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Whether the chosen service models and virtualization plan can handle a 10x load</w:t>
      </w:r>
    </w:p>
    <w:p w14:paraId="2B95EDD9">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Whether auto-scaling and the single-region deployment are sufficient for 99.9% availability (about 8.76 hours of downtime allowed per year)</w:t>
      </w:r>
    </w:p>
    <w:p w14:paraId="31D275E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Whether cost remains acceptable under the new load</w:t>
      </w:r>
    </w:p>
    <w:p w14:paraId="7200D64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Whether another service model or XaaS offering would give better overall results</w:t>
      </w:r>
    </w:p>
    <w:p w14:paraId="2528918C">
      <w:pPr>
        <w:spacing w:after="120" w:line="300" w:lineRule="auto"/>
      </w:pPr>
      <w:r>
        <w:rPr>
          <w:b/>
          <w:bCs/>
        </w:rPr>
        <w:t xml:space="preserve">Evidence Expected: </w:t>
      </w:r>
      <w:r>
        <w:t>A technically supported evaluation of the original design under the new conditions.</w:t>
      </w:r>
    </w:p>
    <w:p w14:paraId="20646D2C">
      <w:pPr>
        <w:keepNext/>
        <w:spacing w:before="280" w:after="120"/>
      </w:pPr>
      <w:r>
        <w:rPr>
          <w:b/>
          <w:bCs/>
        </w:rPr>
        <w:t>Adaptation or Redesign – 2 Marks</w:t>
      </w:r>
    </w:p>
    <w:p w14:paraId="47BCE522">
      <w:pPr>
        <w:spacing w:after="120" w:line="300" w:lineRule="auto"/>
      </w:pPr>
      <w:r>
        <w:t>Discuss:</w:t>
      </w:r>
    </w:p>
    <w:p w14:paraId="34AF336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Decide whether to retain, modify or redesign the solution</w:t>
      </w:r>
    </w:p>
    <w:p w14:paraId="4052C48A">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Describe the revised architecture (for example API gateway, container orchestration, serverless components, multi-zone deployment or a hybrid model)</w:t>
      </w:r>
    </w:p>
    <w:p w14:paraId="424AB3BB">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Explain what changed in the service model mix and in the virtualization approach</w:t>
      </w:r>
    </w:p>
    <w:p w14:paraId="46DDDF5B">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If you retain the original design, give sufficient technical justification for why no change is required</w:t>
      </w:r>
    </w:p>
    <w:p w14:paraId="48CE7868">
      <w:pPr>
        <w:spacing w:after="120" w:line="300" w:lineRule="auto"/>
      </w:pPr>
      <w:r>
        <w:rPr>
          <w:b/>
          <w:bCs/>
        </w:rPr>
        <w:t xml:space="preserve">Evidence Expected: </w:t>
      </w:r>
      <w:r>
        <w:t>An appropriate design response to the changed requirement, with clear technical reasoning.</w:t>
      </w:r>
    </w:p>
    <w:p w14:paraId="33EDF929">
      <w:pPr>
        <w:keepNext/>
        <w:spacing w:before="280" w:after="120"/>
      </w:pPr>
      <w:r>
        <w:rPr>
          <w:b/>
          <w:bCs/>
        </w:rPr>
        <w:t>Evidence-Based Defence – 2 Marks</w:t>
      </w:r>
    </w:p>
    <w:p w14:paraId="4B7C6965">
      <w:pPr>
        <w:spacing w:after="120" w:line="300" w:lineRule="auto"/>
      </w:pPr>
      <w:r>
        <w:t>Discuss:</w:t>
      </w:r>
    </w:p>
    <w:p w14:paraId="7EE416D0">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Capacity and availability calculations</w:t>
      </w:r>
    </w:p>
    <w:p w14:paraId="0F4C2293">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Cost comparison between the original and the revised design</w:t>
      </w:r>
    </w:p>
    <w:p w14:paraId="76D7225D">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Security and multi-tenancy considerations</w:t>
      </w:r>
    </w:p>
    <w:p w14:paraId="364E3622">
      <w:pPr>
        <w:numPr>
          <w:ilvl w:val="0"/>
          <w:numId w:val="1"/>
        </w:numPr>
        <w:pBdr>
          <w:top w:val="none" w:color="auto" w:sz="0" w:space="0"/>
          <w:left w:val="none" w:color="auto" w:sz="0" w:space="0"/>
          <w:bottom w:val="none" w:color="auto" w:sz="0" w:space="0"/>
          <w:right w:val="none" w:color="auto" w:sz="0" w:space="0"/>
          <w:between w:val="none" w:color="auto" w:sz="0" w:space="0"/>
        </w:pBdr>
        <w:spacing w:after="80" w:line="300" w:lineRule="auto"/>
      </w:pPr>
      <w:r>
        <w:rPr>
          <w:color w:val="000000"/>
        </w:rPr>
        <w:t>Trade-offs such as vendor lock-in, complexity and migration effort</w:t>
      </w:r>
    </w:p>
    <w:p w14:paraId="717F8300">
      <w:pPr>
        <w:spacing w:after="120" w:line="300" w:lineRule="auto"/>
      </w:pPr>
      <w:r>
        <w:rPr>
          <w:b/>
          <w:bCs/>
        </w:rPr>
        <w:t xml:space="preserve">Evidence Expected: </w:t>
      </w:r>
      <w:r>
        <w:t>A well-supported final decision that follows logically from the analysis.</w:t>
      </w:r>
    </w:p>
    <w:p w14:paraId="43D1903C">
      <w:pPr>
        <w:keepNext/>
        <w:spacing w:before="280" w:after="120"/>
      </w:pPr>
      <w:r>
        <w:rPr>
          <w:b/>
          <w:bCs/>
          <w:sz w:val="28"/>
          <w:szCs w:val="28"/>
        </w:rPr>
        <w:t>MARK DISTRIBUTION</w:t>
      </w:r>
    </w:p>
    <w:tbl>
      <w:tblPr>
        <w:tblStyle w:val="12"/>
        <w:tblW w:w="900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4700"/>
        <w:gridCol w:w="2300"/>
        <w:gridCol w:w="1100"/>
      </w:tblGrid>
      <w:tr w14:paraId="4AE28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99723BD">
            <w:r>
              <w:rPr>
                <w:b/>
                <w:bCs/>
                <w:sz w:val="22"/>
                <w:szCs w:val="22"/>
              </w:rPr>
              <w:t>Task</w:t>
            </w:r>
          </w:p>
        </w:tc>
        <w:tc>
          <w:tcPr>
            <w:tcW w:w="4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642F09D">
            <w:r>
              <w:rPr>
                <w:b/>
                <w:bCs/>
                <w:sz w:val="22"/>
                <w:szCs w:val="22"/>
              </w:rPr>
              <w:t>Title</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115808B">
            <w:r>
              <w:rPr>
                <w:b/>
                <w:bCs/>
                <w:sz w:val="22"/>
                <w:szCs w:val="22"/>
              </w:rPr>
              <w:t>Bloom's Level</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0F10F3D">
            <w:pPr>
              <w:jc w:val="center"/>
            </w:pPr>
            <w:r>
              <w:rPr>
                <w:b/>
                <w:bCs/>
                <w:sz w:val="22"/>
                <w:szCs w:val="22"/>
              </w:rPr>
              <w:t>Marks</w:t>
            </w:r>
          </w:p>
        </w:tc>
      </w:tr>
      <w:tr w14:paraId="0B575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6BC3C5">
            <w:r>
              <w:rPr>
                <w:sz w:val="22"/>
                <w:szCs w:val="22"/>
              </w:rPr>
              <w:t>Task 1</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424F22">
            <w:r>
              <w:rPr>
                <w:sz w:val="22"/>
                <w:szCs w:val="22"/>
              </w:rPr>
              <w:t>Cloud Computing – Introduction &amp; Characteristics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E29ADB">
            <w:r>
              <w:rPr>
                <w:sz w:val="22"/>
                <w:szCs w:val="22"/>
              </w:rPr>
              <w:t>L2 – Understand</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5B6C51">
            <w:pPr>
              <w:jc w:val="center"/>
            </w:pPr>
            <w:r>
              <w:rPr>
                <w:sz w:val="22"/>
                <w:szCs w:val="22"/>
              </w:rPr>
              <w:t>3</w:t>
            </w:r>
          </w:p>
        </w:tc>
      </w:tr>
      <w:tr w14:paraId="418EA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E88194">
            <w:r>
              <w:rPr>
                <w:sz w:val="22"/>
                <w:szCs w:val="22"/>
              </w:rPr>
              <w:t>Task 2</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BFC9C7">
            <w:r>
              <w:rPr>
                <w:sz w:val="22"/>
                <w:szCs w:val="22"/>
              </w:rPr>
              <w:t>Evolution &amp; Hardware Evolution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ACCE47">
            <w:r>
              <w:rPr>
                <w:sz w:val="22"/>
                <w:szCs w:val="22"/>
              </w:rPr>
              <w:t>L2 – Understand</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7264B7">
            <w:pPr>
              <w:jc w:val="center"/>
            </w:pPr>
            <w:r>
              <w:rPr>
                <w:sz w:val="22"/>
                <w:szCs w:val="22"/>
              </w:rPr>
              <w:t>3</w:t>
            </w:r>
          </w:p>
        </w:tc>
      </w:tr>
      <w:tr w14:paraId="66FC3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EE0004">
            <w:r>
              <w:rPr>
                <w:sz w:val="22"/>
                <w:szCs w:val="22"/>
              </w:rPr>
              <w:t>Task 3</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8345E3">
            <w:r>
              <w:rPr>
                <w:sz w:val="22"/>
                <w:szCs w:val="22"/>
              </w:rPr>
              <w:t>Internet Software Evolution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1CE44A">
            <w:r>
              <w:rPr>
                <w:sz w:val="22"/>
                <w:szCs w:val="22"/>
              </w:rPr>
              <w:t>L2 – Understand</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6EC804">
            <w:pPr>
              <w:jc w:val="center"/>
            </w:pPr>
            <w:r>
              <w:rPr>
                <w:sz w:val="22"/>
                <w:szCs w:val="22"/>
              </w:rPr>
              <w:t>3</w:t>
            </w:r>
          </w:p>
        </w:tc>
      </w:tr>
      <w:tr w14:paraId="48289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ACA50">
            <w:r>
              <w:rPr>
                <w:sz w:val="22"/>
                <w:szCs w:val="22"/>
              </w:rPr>
              <w:t>Task 4</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A06424">
            <w:r>
              <w:rPr>
                <w:sz w:val="22"/>
                <w:szCs w:val="22"/>
              </w:rPr>
              <w:t>Server Virtualization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E5CF7">
            <w:r>
              <w:rPr>
                <w:sz w:val="22"/>
                <w:szCs w:val="22"/>
              </w:rPr>
              <w:t>L3 – Apply</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17029">
            <w:pPr>
              <w:jc w:val="center"/>
            </w:pPr>
            <w:r>
              <w:rPr>
                <w:sz w:val="22"/>
                <w:szCs w:val="22"/>
              </w:rPr>
              <w:t>5</w:t>
            </w:r>
          </w:p>
        </w:tc>
      </w:tr>
      <w:tr w14:paraId="634EE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F2DFF0">
            <w:r>
              <w:rPr>
                <w:sz w:val="22"/>
                <w:szCs w:val="22"/>
              </w:rPr>
              <w:t>Task 5</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85E7A9">
            <w:r>
              <w:rPr>
                <w:sz w:val="22"/>
                <w:szCs w:val="22"/>
              </w:rPr>
              <w:t>Web Services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150054">
            <w:r>
              <w:rPr>
                <w:sz w:val="22"/>
                <w:szCs w:val="22"/>
              </w:rPr>
              <w:t>L3 – Apply</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BA90B9">
            <w:pPr>
              <w:jc w:val="center"/>
            </w:pPr>
            <w:r>
              <w:rPr>
                <w:sz w:val="22"/>
                <w:szCs w:val="22"/>
              </w:rPr>
              <w:t>4</w:t>
            </w:r>
          </w:p>
        </w:tc>
      </w:tr>
      <w:tr w14:paraId="75A44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E48408">
            <w:r>
              <w:rPr>
                <w:sz w:val="22"/>
                <w:szCs w:val="22"/>
              </w:rPr>
              <w:t>Task 6</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AA26BD">
            <w:r>
              <w:rPr>
                <w:sz w:val="22"/>
                <w:szCs w:val="22"/>
              </w:rPr>
              <w:t>Service Models: IaaS, PaaS, SaaS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9CCF7E">
            <w:r>
              <w:rPr>
                <w:sz w:val="22"/>
                <w:szCs w:val="22"/>
              </w:rPr>
              <w:t>L4 – Analyze</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D0DC67">
            <w:pPr>
              <w:jc w:val="center"/>
            </w:pPr>
            <w:r>
              <w:rPr>
                <w:sz w:val="22"/>
                <w:szCs w:val="22"/>
              </w:rPr>
              <w:t>5</w:t>
            </w:r>
          </w:p>
        </w:tc>
      </w:tr>
      <w:tr w14:paraId="3D96E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564BB6">
            <w:r>
              <w:rPr>
                <w:sz w:val="22"/>
                <w:szCs w:val="22"/>
              </w:rPr>
              <w:t>Task 7</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A36B8B">
            <w:r>
              <w:rPr>
                <w:sz w:val="22"/>
                <w:szCs w:val="22"/>
              </w:rPr>
              <w:t>XaaS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6198F3">
            <w:r>
              <w:rPr>
                <w:sz w:val="22"/>
                <w:szCs w:val="22"/>
              </w:rPr>
              <w:t>L4 – Analyze</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357A05">
            <w:pPr>
              <w:jc w:val="center"/>
            </w:pPr>
            <w:r>
              <w:rPr>
                <w:sz w:val="22"/>
                <w:szCs w:val="22"/>
              </w:rPr>
              <w:t>3</w:t>
            </w:r>
          </w:p>
        </w:tc>
      </w:tr>
      <w:tr w14:paraId="46358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23917D">
            <w:r>
              <w:rPr>
                <w:sz w:val="22"/>
                <w:szCs w:val="22"/>
              </w:rPr>
              <w:t>Task 8</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915282">
            <w:r>
              <w:rPr>
                <w:sz w:val="22"/>
                <w:szCs w:val="22"/>
              </w:rPr>
              <w:t>Design the Cloud Solution Architecture</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1726DC">
            <w:r>
              <w:rPr>
                <w:sz w:val="22"/>
                <w:szCs w:val="22"/>
              </w:rPr>
              <w:t>L6 – Create</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A9366">
            <w:pPr>
              <w:jc w:val="center"/>
            </w:pPr>
            <w:r>
              <w:rPr>
                <w:sz w:val="22"/>
                <w:szCs w:val="22"/>
              </w:rPr>
              <w:t>5</w:t>
            </w:r>
          </w:p>
        </w:tc>
      </w:tr>
      <w:tr w14:paraId="774A3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E9B406">
            <w:r>
              <w:rPr>
                <w:sz w:val="22"/>
                <w:szCs w:val="22"/>
              </w:rPr>
              <w:t>Task 9</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AC00F3">
            <w:r>
              <w:rPr>
                <w:sz w:val="22"/>
                <w:szCs w:val="22"/>
              </w:rPr>
              <w:t>Hands-on Implementation &amp; Documentation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AD6203">
            <w:r>
              <w:rPr>
                <w:sz w:val="22"/>
                <w:szCs w:val="22"/>
              </w:rPr>
              <w:t>L3 – Apply</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95F0F8">
            <w:pPr>
              <w:jc w:val="center"/>
            </w:pPr>
            <w:r>
              <w:rPr>
                <w:sz w:val="22"/>
                <w:szCs w:val="22"/>
              </w:rPr>
              <w:t>4</w:t>
            </w:r>
          </w:p>
        </w:tc>
      </w:tr>
      <w:tr w14:paraId="1A2D4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720116">
            <w:r>
              <w:rPr>
                <w:sz w:val="22"/>
                <w:szCs w:val="22"/>
              </w:rPr>
              <w:t>Task 10</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A0A97F">
            <w:r>
              <w:rPr>
                <w:sz w:val="22"/>
                <w:szCs w:val="22"/>
              </w:rPr>
              <w:t>Evaluate &amp; Recommend the Final Solution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933464">
            <w:r>
              <w:rPr>
                <w:sz w:val="22"/>
                <w:szCs w:val="22"/>
              </w:rPr>
              <w:t>L5 – Evaluate</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4DD690">
            <w:pPr>
              <w:jc w:val="center"/>
            </w:pPr>
            <w:r>
              <w:rPr>
                <w:sz w:val="22"/>
                <w:szCs w:val="22"/>
              </w:rPr>
              <w:t>7</w:t>
            </w:r>
          </w:p>
        </w:tc>
      </w:tr>
      <w:tr w14:paraId="50893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A6FBF0"/>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1C0713">
            <w:r>
              <w:rPr>
                <w:b/>
                <w:bCs/>
                <w:sz w:val="22"/>
                <w:szCs w:val="22"/>
              </w:rPr>
              <w:t>Subtotal</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481210"/>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E99F18">
            <w:pPr>
              <w:jc w:val="center"/>
            </w:pPr>
          </w:p>
        </w:tc>
      </w:tr>
    </w:tbl>
    <w:p w14:paraId="3C145662">
      <w:pPr>
        <w:spacing w:after="120" w:line="300" w:lineRule="auto"/>
      </w:pPr>
    </w:p>
    <w:tbl>
      <w:tblPr>
        <w:tblStyle w:val="12"/>
        <w:tblW w:w="900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4700"/>
        <w:gridCol w:w="2300"/>
        <w:gridCol w:w="1100"/>
      </w:tblGrid>
      <w:tr w14:paraId="40F6E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42CBEF">
            <w:r>
              <w:rPr>
                <w:sz w:val="22"/>
                <w:szCs w:val="22"/>
              </w:rPr>
              <w:t>Task 11</w:t>
            </w:r>
          </w:p>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9683F6">
            <w:r>
              <w:rPr>
                <w:sz w:val="22"/>
                <w:szCs w:val="22"/>
              </w:rPr>
              <w:t>Day-4 Design Challenge</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51632F">
            <w:r>
              <w:rPr>
                <w:sz w:val="22"/>
                <w:szCs w:val="22"/>
              </w:rPr>
              <w:t>L4 / L5 / L6</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56F4B7">
            <w:pPr>
              <w:jc w:val="center"/>
            </w:pPr>
            <w:r>
              <w:rPr>
                <w:sz w:val="22"/>
                <w:szCs w:val="22"/>
              </w:rPr>
              <w:t>8</w:t>
            </w:r>
          </w:p>
        </w:tc>
      </w:tr>
      <w:tr w14:paraId="7A2F9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09A326"/>
        </w:tc>
        <w:tc>
          <w:tcPr>
            <w:tcW w:w="4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4DE12">
            <w:r>
              <w:rPr>
                <w:b/>
                <w:bCs/>
                <w:sz w:val="22"/>
                <w:szCs w:val="22"/>
              </w:rPr>
              <w:t>TOTAL</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881647"/>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CB9569">
            <w:pPr>
              <w:jc w:val="center"/>
            </w:pPr>
            <w:r>
              <w:t>50</w:t>
            </w:r>
          </w:p>
        </w:tc>
      </w:tr>
    </w:tbl>
    <w:p w14:paraId="5504AA80">
      <w:bookmarkStart w:id="0" w:name="_heading=h.2gk0q5b605zq" w:colFirst="0" w:colLast="0"/>
      <w:bookmarkEnd w:id="0"/>
      <w:r>
        <w:br w:type="page"/>
      </w:r>
    </w:p>
    <w:p w14:paraId="0351E3ED">
      <w:pPr>
        <w:jc w:val="center"/>
        <w:rPr>
          <w:rFonts w:ascii="Times New Roman" w:hAnsi="Times New Roman"/>
          <w:b/>
          <w:color w:val="000000" w:themeColor="text1"/>
          <w:sz w:val="28"/>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1 – INTRODUCTION TO CLOUD COMPUTING</w:t>
      </w:r>
    </w:p>
    <w:p w14:paraId="6006E375">
      <w:pPr>
        <w:jc w:val="center"/>
        <w:rPr>
          <w:rFonts w:ascii="Times New Roman" w:hAnsi="Times New Roman"/>
          <w:b/>
          <w:color w:val="000000" w:themeColor="text1"/>
          <w:sz w:val="28"/>
          <w:u w:val="single"/>
          <w14:textFill>
            <w14:solidFill>
              <w14:schemeClr w14:val="tx1"/>
            </w14:solidFill>
          </w14:textFill>
        </w:rPr>
      </w:pPr>
    </w:p>
    <w:p w14:paraId="31201379">
      <w:pPr>
        <w:spacing w:before="80" w:after="80"/>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1. Introduction and core concepts</w:t>
      </w:r>
    </w:p>
    <w:p w14:paraId="2DF1701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Meaning and definition.</w:t>
      </w:r>
      <w:r>
        <w:rPr>
          <w:rFonts w:ascii="Times New Roman" w:hAnsi="Times New Roman"/>
          <w:color w:val="000000" w:themeColor="text1"/>
          <w:sz w:val="24"/>
          <w:szCs w:val="24"/>
          <w14:textFill>
            <w14:solidFill>
              <w14:schemeClr w14:val="tx1"/>
            </w14:solidFill>
          </w14:textFill>
        </w:rPr>
        <w:t xml:space="preserve"> Cloud computing is a model for delivering computing resources—such as servers, storage, databases, networking and software—over the internet whenever they are required. Instead of purchasing and maintaining all hardware inside the university, the institution rents resources from a cloud provider and pays according to usage. The provider operates the physical data centre, while the university configures and manages the services it uses.</w:t>
      </w:r>
    </w:p>
    <w:p w14:paraId="6219AC0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Five essential characteristics.</w:t>
      </w:r>
      <w:r>
        <w:rPr>
          <w:rFonts w:ascii="Times New Roman" w:hAnsi="Times New Roman"/>
          <w:color w:val="000000" w:themeColor="text1"/>
          <w:sz w:val="24"/>
          <w:szCs w:val="24"/>
          <w14:textFill>
            <w14:solidFill>
              <w14:schemeClr w14:val="tx1"/>
            </w14:solidFill>
          </w14:textFill>
        </w:rPr>
        <w:t xml:space="preserve"> 1. On-demand self-service: authorised staff can create resources without waiting for manual provider action. 2. Broad network access: students and staff can use services through laptops, phones and browsers. 3. Resource pooling: provider resources are shared securely among customers. 4. Rapid elasticity: capacity can increase during admissions and online examinations and decrease afterwards. 5. Measured service: usage such as storage, processing and network traffic is monitored for billing and planning.</w:t>
      </w:r>
    </w:p>
    <w:p w14:paraId="56249B65">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Problems in the present university.</w:t>
      </w:r>
      <w:r>
        <w:rPr>
          <w:rFonts w:ascii="Times New Roman" w:hAnsi="Times New Roman"/>
          <w:color w:val="000000" w:themeColor="text1"/>
          <w:sz w:val="24"/>
          <w:szCs w:val="24"/>
          <w14:textFill>
            <w14:solidFill>
              <w14:schemeClr w14:val="tx1"/>
            </w14:solidFill>
          </w14:textFill>
        </w:rPr>
        <w:t xml:space="preserve"> The university has 12 physical servers with average CPU utilisation of about 15%, but demand rises above 95% during admissions and examinations. Dedicated servers remain idle in normal periods, while peak periods cause slow service. Procurement takes 6–8 weeks, and there is no disaster-recovery site. Cloud elasticity addresses peak demand; resource pooling improves utilisation; and on-demand provisioning avoids long hardware procurement delays.</w:t>
      </w:r>
    </w:p>
    <w:p w14:paraId="114DDD5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Recommended deployment model.</w:t>
      </w:r>
      <w:r>
        <w:rPr>
          <w:rFonts w:ascii="Times New Roman" w:hAnsi="Times New Roman"/>
          <w:color w:val="000000" w:themeColor="text1"/>
          <w:sz w:val="24"/>
          <w:szCs w:val="24"/>
          <w14:textFill>
            <w14:solidFill>
              <w14:schemeClr w14:val="tx1"/>
            </w14:solidFill>
          </w14:textFill>
        </w:rPr>
        <w:t xml:space="preserve"> A hybrid cloud is suitable. Public-cloud services can host the student portal, learning platform, APIs and scalable web applications. Sensitive records can be protected using private networking, encryption and tightly controlled database access. The university can retain selected legacy systems on-premises during migration. A community cloud may be considered for shared services among affiliated colleges, but it is not necessary as the primary model.</w:t>
      </w:r>
    </w:p>
    <w:p w14:paraId="35B200B6">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Cloud computing changes the university's capacity-planning approach. Instead of buying enough hardware for the busiest week and leaving it under-used for the rest of the year, the university can scale services according to measured demand. This is particularly useful for admissions, fee deadlines and online examinations.</w:t>
      </w:r>
    </w:p>
    <w:p w14:paraId="41CCE12D">
      <w:pPr>
        <w:jc w:val="center"/>
        <w:rPr>
          <w:rFonts w:hint="default" w:ascii="Times New Roman" w:hAnsi="Times New Roman"/>
          <w:b/>
          <w:color w:val="000000" w:themeColor="text1"/>
          <w:sz w:val="24"/>
          <w:lang w:val="en-IN"/>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drawing>
          <wp:inline distT="0" distB="0" distL="114300" distR="114300">
            <wp:extent cx="4022725" cy="2943225"/>
            <wp:effectExtent l="0" t="0" r="3175" b="3175"/>
            <wp:docPr id="14" name="Picture 14" descr="Task_01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sk_01_Cloud_Computing"/>
                    <pic:cNvPicPr>
                      <a:picLocks noChangeAspect="1"/>
                    </pic:cNvPicPr>
                  </pic:nvPicPr>
                  <pic:blipFill>
                    <a:blip r:embed="rId7"/>
                    <a:stretch>
                      <a:fillRect/>
                    </a:stretch>
                  </pic:blipFill>
                  <pic:spPr>
                    <a:xfrm>
                      <a:off x="0" y="0"/>
                      <a:ext cx="4022725" cy="2943225"/>
                    </a:xfrm>
                    <a:prstGeom prst="rect">
                      <a:avLst/>
                    </a:prstGeom>
                    <a:effectLst>
                      <a:softEdge rad="31750"/>
                    </a:effectLst>
                  </pic:spPr>
                </pic:pic>
              </a:graphicData>
            </a:graphic>
          </wp:inline>
        </w:drawing>
      </w:r>
      <w:r>
        <w:rPr>
          <w:color w:val="000000" w:themeColor="text1"/>
          <w:sz w:val="24"/>
          <w:szCs w:val="24"/>
          <w14:textFill>
            <w14:solidFill>
              <w14:schemeClr w14:val="tx1"/>
            </w14:solidFill>
          </w14:textFill>
        </w:rPr>
        <w:br w:type="page"/>
      </w:r>
    </w:p>
    <w:p w14:paraId="3B3DDDFB">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1.1</w:t>
      </w:r>
      <w:r>
        <w:rPr>
          <w:rFonts w:ascii="Times New Roman" w:hAnsi="Times New Roman"/>
          <w:b/>
          <w:color w:val="000000" w:themeColor="text1"/>
          <w:sz w:val="24"/>
          <w14:textFill>
            <w14:solidFill>
              <w14:schemeClr w14:val="tx1"/>
            </w14:solidFill>
          </w14:textFill>
        </w:rPr>
        <w:t>Cloud service flow for the Smart Campus</w:t>
      </w:r>
    </w:p>
    <w:p w14:paraId="7E307137">
      <w:pPr>
        <w:spacing w:before="80" w:after="80"/>
        <w:rPr>
          <w:rFonts w:ascii="Times New Roman" w:hAnsi="Times New Roman"/>
          <w:b/>
          <w:color w:val="000000" w:themeColor="text1"/>
          <w:sz w:val="24"/>
          <w14:textFill>
            <w14:solidFill>
              <w14:schemeClr w14:val="tx1"/>
            </w14:solidFill>
          </w14:textFill>
        </w:rPr>
      </w:pPr>
    </w:p>
    <w:p w14:paraId="18280481">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5661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566160"/>
                    </a:xfrm>
                    <a:prstGeom prst="rect">
                      <a:avLst/>
                    </a:prstGeom>
                  </pic:spPr>
                </pic:pic>
              </a:graphicData>
            </a:graphic>
          </wp:inline>
        </w:drawing>
      </w:r>
    </w:p>
    <w:p w14:paraId="3E1CB6D7">
      <w:pPr>
        <w:spacing w:before="80" w:after="80"/>
        <w:rPr>
          <w:rFonts w:hint="default" w:ascii="Times New Roman" w:hAnsi="Times New Roman"/>
          <w:b/>
          <w:color w:val="000000" w:themeColor="text1"/>
          <w:sz w:val="24"/>
          <w:szCs w:val="24"/>
          <w:lang w:val="en-IN"/>
          <w14:textFill>
            <w14:solidFill>
              <w14:schemeClr w14:val="tx1"/>
            </w14:solidFill>
          </w14:textFill>
        </w:rPr>
      </w:pPr>
    </w:p>
    <w:p w14:paraId="6349C56D">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1.</w:t>
      </w:r>
      <w:r>
        <w:rPr>
          <w:rFonts w:ascii="Times New Roman" w:hAnsi="Times New Roman"/>
          <w:b/>
          <w:color w:val="000000" w:themeColor="text1"/>
          <w:sz w:val="24"/>
          <w:szCs w:val="24"/>
          <w14:textFill>
            <w14:solidFill>
              <w14:schemeClr w14:val="tx1"/>
            </w14:solidFill>
          </w14:textFill>
        </w:rPr>
        <w:t>2. Explanation of the diagram</w:t>
      </w:r>
    </w:p>
    <w:p w14:paraId="2A686E0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How the request is handled.</w:t>
      </w:r>
      <w:r>
        <w:rPr>
          <w:rFonts w:ascii="Times New Roman" w:hAnsi="Times New Roman"/>
          <w:color w:val="000000" w:themeColor="text1"/>
          <w:sz w:val="24"/>
          <w:szCs w:val="24"/>
          <w14:textFill>
            <w14:solidFill>
              <w14:schemeClr w14:val="tx1"/>
            </w14:solidFill>
          </w14:textFill>
        </w:rPr>
        <w:t xml:space="preserve"> A student opens the portal using a browser or mobile application. The request travels over HTTPS to the cloud load balancer, which directs it to a healthy application instance. The application checks identity and permissions, reads or updates the relevant database, and returns the result. Backups are copied to a separate recovery location.</w:t>
      </w:r>
    </w:p>
    <w:p w14:paraId="21D211F5">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Benefits and limitations.</w:t>
      </w:r>
      <w:r>
        <w:rPr>
          <w:rFonts w:ascii="Times New Roman" w:hAnsi="Times New Roman"/>
          <w:color w:val="000000" w:themeColor="text1"/>
          <w:sz w:val="24"/>
          <w:szCs w:val="24"/>
          <w14:textFill>
            <w14:solidFill>
              <w14:schemeClr w14:val="tx1"/>
            </w14:solidFill>
          </w14:textFill>
        </w:rPr>
        <w:t xml:space="preserve"> Benefits include lower initial capital expenditure, quick provisioning, flexible capacity, remote access, managed maintenance and improved recovery options. Limitations include dependence on internet connectivity, recurring usage charges, vendor lock-in, data-residency obligations and the need for trained administrators. Cloud adoption does not automatically make an application secure; the university must configure identity, network and data controls.</w:t>
      </w:r>
    </w:p>
    <w:p w14:paraId="01F8EA39">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6C56CAE1">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17890D56">
      <w:pPr>
        <w:jc w:val="center"/>
        <w:rPr>
          <w:color w:val="000000" w:themeColor="text1"/>
          <w14:textFill>
            <w14:solidFill>
              <w14:schemeClr w14:val="tx1"/>
            </w14:solidFill>
          </w14:textFill>
        </w:rPr>
      </w:pPr>
    </w:p>
    <w:p w14:paraId="6A29FE7A">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1.3 </w:t>
      </w:r>
      <w:r>
        <w:rPr>
          <w:rFonts w:ascii="Times New Roman" w:hAnsi="Times New Roman"/>
          <w:b/>
          <w:color w:val="000000" w:themeColor="text1"/>
          <w:sz w:val="24"/>
          <w14:textFill>
            <w14:solidFill>
              <w14:schemeClr w14:val="tx1"/>
            </w14:solidFill>
          </w14:textFill>
        </w:rPr>
        <w:t>Deployment model comparison and scenario mapping</w:t>
      </w:r>
    </w:p>
    <w:p w14:paraId="303AFC15">
      <w:pPr>
        <w:spacing w:before="80" w:after="80"/>
        <w:rPr>
          <w:rFonts w:ascii="Times New Roman" w:hAnsi="Times New Roman"/>
          <w:b/>
          <w:color w:val="000000" w:themeColor="text1"/>
          <w:sz w:val="24"/>
          <w14:textFill>
            <w14:solidFill>
              <w14:schemeClr w14:val="tx1"/>
            </w14:solidFill>
          </w14:textFill>
        </w:rPr>
      </w:pPr>
    </w:p>
    <w:tbl>
      <w:tblPr>
        <w:tblStyle w:val="18"/>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2336"/>
        <w:gridCol w:w="2360"/>
        <w:gridCol w:w="2323"/>
      </w:tblGrid>
      <w:tr w14:paraId="4590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279"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3F71B1E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Model</w:t>
            </w:r>
          </w:p>
        </w:tc>
        <w:tc>
          <w:tcPr>
            <w:tcW w:w="2336"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2E2E31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Description</w:t>
            </w:r>
          </w:p>
        </w:tc>
        <w:tc>
          <w:tcPr>
            <w:tcW w:w="23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2B83AC0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University use</w:t>
            </w:r>
          </w:p>
        </w:tc>
        <w:tc>
          <w:tcPr>
            <w:tcW w:w="232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1ACB002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Main consideration</w:t>
            </w:r>
          </w:p>
        </w:tc>
      </w:tr>
      <w:tr w14:paraId="1B80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jc w:val="center"/>
        </w:trPr>
        <w:tc>
          <w:tcPr>
            <w:tcW w:w="227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F8EBDB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Public cloud</w:t>
            </w:r>
          </w:p>
        </w:tc>
        <w:tc>
          <w:tcPr>
            <w:tcW w:w="23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B8B9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Provider-owned shared infrastructure, logically isolated</w:t>
            </w:r>
          </w:p>
        </w:tc>
        <w:tc>
          <w:tcPr>
            <w:tcW w:w="2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7938E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Student portal, public APIs, scalable web tier</w:t>
            </w:r>
          </w:p>
        </w:tc>
        <w:tc>
          <w:tcPr>
            <w:tcW w:w="232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DB726E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Strong access controls and data protection are required</w:t>
            </w:r>
          </w:p>
        </w:tc>
      </w:tr>
      <w:tr w14:paraId="048B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227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4D8E92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Private cloud</w:t>
            </w:r>
          </w:p>
        </w:tc>
        <w:tc>
          <w:tcPr>
            <w:tcW w:w="23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068EE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Cloud environment dedicated to one organisation</w:t>
            </w:r>
          </w:p>
        </w:tc>
        <w:tc>
          <w:tcPr>
            <w:tcW w:w="2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2207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Highly controlled legacy or sensitive workloads</w:t>
            </w:r>
          </w:p>
        </w:tc>
        <w:tc>
          <w:tcPr>
            <w:tcW w:w="232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C88D4A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Higher cost and management effort</w:t>
            </w:r>
          </w:p>
        </w:tc>
      </w:tr>
      <w:tr w14:paraId="3120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227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A9AB59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Hybrid cloud</w:t>
            </w:r>
          </w:p>
        </w:tc>
        <w:tc>
          <w:tcPr>
            <w:tcW w:w="23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1BDD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Combination of private/on-premises and public cloud</w:t>
            </w:r>
          </w:p>
        </w:tc>
        <w:tc>
          <w:tcPr>
            <w:tcW w:w="2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F514C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Recommended migration approach</w:t>
            </w:r>
          </w:p>
        </w:tc>
        <w:tc>
          <w:tcPr>
            <w:tcW w:w="232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12F2A8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Integration and consistent security are essential</w:t>
            </w:r>
          </w:p>
        </w:tc>
      </w:tr>
      <w:tr w14:paraId="331F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279"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ABE7D4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Community cloud</w:t>
            </w:r>
          </w:p>
        </w:tc>
        <w:tc>
          <w:tcPr>
            <w:tcW w:w="2336"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0AF4046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Shared by organisations with common requirements</w:t>
            </w:r>
          </w:p>
        </w:tc>
        <w:tc>
          <w:tcPr>
            <w:tcW w:w="23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2087E3F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Possible shared platform for affiliated colleges</w:t>
            </w:r>
          </w:p>
        </w:tc>
        <w:tc>
          <w:tcPr>
            <w:tcW w:w="2323"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DEA0AF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Governance and responsibility must be agreed</w:t>
            </w:r>
          </w:p>
        </w:tc>
      </w:tr>
    </w:tbl>
    <w:p w14:paraId="0D2E4A54">
      <w:pPr>
        <w:spacing w:before="80" w:after="80"/>
        <w:rPr>
          <w:rFonts w:hint="default" w:ascii="Times New Roman" w:hAnsi="Times New Roman"/>
          <w:b/>
          <w:color w:val="000000" w:themeColor="text1"/>
          <w:sz w:val="24"/>
          <w:lang w:val="en-IN"/>
          <w14:textFill>
            <w14:solidFill>
              <w14:schemeClr w14:val="tx1"/>
            </w14:solidFill>
          </w14:textFill>
        </w:rPr>
      </w:pPr>
    </w:p>
    <w:p w14:paraId="7CE05FF6">
      <w:pPr>
        <w:spacing w:before="80" w:after="80"/>
        <w:jc w:val="both"/>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1.4</w:t>
      </w:r>
      <w:r>
        <w:rPr>
          <w:rFonts w:ascii="Times New Roman" w:hAnsi="Times New Roman"/>
          <w:b/>
          <w:color w:val="000000" w:themeColor="text1"/>
          <w:sz w:val="24"/>
          <w14:textFill>
            <w14:solidFill>
              <w14:schemeClr w14:val="tx1"/>
            </w14:solidFill>
          </w14:textFill>
        </w:rPr>
        <w:t>. Analysis and application to the university</w:t>
      </w:r>
    </w:p>
    <w:p w14:paraId="13BE5A0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Characteristic-to-problem mapping.</w:t>
      </w:r>
      <w:r>
        <w:rPr>
          <w:rFonts w:ascii="Times New Roman" w:hAnsi="Times New Roman"/>
          <w:color w:val="000000" w:themeColor="text1"/>
          <w:sz w:val="24"/>
          <w:szCs w:val="24"/>
          <w14:textFill>
            <w14:solidFill>
              <w14:schemeClr w14:val="tx1"/>
            </w14:solidFill>
          </w14:textFill>
        </w:rPr>
        <w:t xml:space="preserve"> Rapid elasticity reduces overload during admission and exam peaks. Resource pooling reduces the waste caused by 12 lightly used servers. On-demand self-service reduces the 6–8 week wait for new hardware. Broad network access supports four campuses and remote users. Measured service helps the university monitor and control spending.</w:t>
      </w:r>
    </w:p>
    <w:p w14:paraId="0092492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Final proposal.</w:t>
      </w:r>
      <w:r>
        <w:rPr>
          <w:rFonts w:ascii="Times New Roman" w:hAnsi="Times New Roman"/>
          <w:color w:val="000000" w:themeColor="text1"/>
          <w:sz w:val="24"/>
          <w:szCs w:val="24"/>
          <w14:textFill>
            <w14:solidFill>
              <w14:schemeClr w14:val="tx1"/>
            </w14:solidFill>
          </w14:textFill>
        </w:rPr>
        <w:t xml:space="preserve"> Adopt a hybrid-cloud strategy and migrate in phases. Begin with a low-risk web service, then move the LMS and student-facing portal, followed by carefully tested database workloads. Apply encryption, multi-factor authentication, role-based access, backups and monitoring from the first phase. This approach balances scalability, cost, security and manageability.</w:t>
      </w:r>
    </w:p>
    <w:p w14:paraId="4ED57746">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a hybrid deployment model is the most balanced choice because it supports gradual migration, elastic public-facing services and controlled handling of sensitive university data.</w:t>
      </w:r>
    </w:p>
    <w:p w14:paraId="247AE045">
      <w:pPr>
        <w:jc w:val="right"/>
        <w:rPr>
          <w:color w:val="000000" w:themeColor="text1"/>
          <w:sz w:val="24"/>
          <w:szCs w:val="24"/>
          <w14:textFill>
            <w14:solidFill>
              <w14:schemeClr w14:val="tx1"/>
            </w14:solidFill>
          </w14:textFill>
        </w:rPr>
      </w:pPr>
    </w:p>
    <w:p w14:paraId="79A76A8C">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16F38A56">
      <w:pPr>
        <w:jc w:val="center"/>
        <w:rPr>
          <w:color w:val="000000" w:themeColor="text1"/>
          <w14:textFill>
            <w14:solidFill>
              <w14:schemeClr w14:val="tx1"/>
            </w14:solidFill>
          </w14:textFill>
        </w:rPr>
      </w:pPr>
      <w:r>
        <w:rPr>
          <w:rFonts w:ascii="Times New Roman" w:hAnsi="Times New Roman"/>
          <w:b/>
          <w:color w:val="000000" w:themeColor="text1"/>
          <w:sz w:val="28"/>
          <w14:textFill>
            <w14:solidFill>
              <w14:schemeClr w14:val="tx1"/>
            </w14:solidFill>
          </w14:textFill>
        </w:rPr>
        <w:t>TASK 2 – EVOLUTION OF COMPUTING AND HARDWARE</w:t>
      </w:r>
    </w:p>
    <w:p w14:paraId="6C508319">
      <w:pPr>
        <w:spacing w:before="80" w:after="80"/>
        <w:rPr>
          <w:rFonts w:ascii="Times New Roman" w:hAnsi="Times New Roman"/>
          <w:b/>
          <w:color w:val="000000" w:themeColor="text1"/>
          <w:sz w:val="24"/>
          <w14:textFill>
            <w14:solidFill>
              <w14:schemeClr w14:val="tx1"/>
            </w14:solidFill>
          </w14:textFill>
        </w:rPr>
      </w:pPr>
    </w:p>
    <w:p w14:paraId="2434F4CE">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2</w:t>
      </w:r>
      <w:r>
        <w:rPr>
          <w:rFonts w:ascii="Times New Roman" w:hAnsi="Times New Roman"/>
          <w:b/>
          <w:color w:val="000000" w:themeColor="text1"/>
          <w:sz w:val="24"/>
          <w14:textFill>
            <w14:solidFill>
              <w14:schemeClr w14:val="tx1"/>
            </w14:solidFill>
          </w14:textFill>
        </w:rPr>
        <w:t>. Introduction and core concepts</w:t>
      </w:r>
    </w:p>
    <w:p w14:paraId="03853EF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Evolution of computing infrastructure.</w:t>
      </w:r>
      <w:r>
        <w:rPr>
          <w:rFonts w:ascii="Times New Roman" w:hAnsi="Times New Roman"/>
          <w:color w:val="000000" w:themeColor="text1"/>
          <w:sz w:val="24"/>
          <w:szCs w:val="24"/>
          <w14:textFill>
            <w14:solidFill>
              <w14:schemeClr w14:val="tx1"/>
            </w14:solidFill>
          </w14:textFill>
        </w:rPr>
        <w:t xml:space="preserve"> Cloud computing became practical through several stages. Mainframes centralised processing for many users. Minicomputers made computing more accessible to departments. Personal computers brought processing to individual users. Client–server systems separated user interfaces from shared servers. Clusters connected multiple computers to work as one system. Grid computing coordinated distributed resources, while utility computing introduced usage-based delivery. Cloud computing combines network access, pooling, automation and elasticity.</w:t>
      </w:r>
    </w:p>
    <w:p w14:paraId="12B8A52A">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Hardware developments that enabled cloud.</w:t>
      </w:r>
      <w:r>
        <w:rPr>
          <w:rFonts w:ascii="Times New Roman" w:hAnsi="Times New Roman"/>
          <w:color w:val="000000" w:themeColor="text1"/>
          <w:sz w:val="24"/>
          <w:szCs w:val="24"/>
          <w14:textFill>
            <w14:solidFill>
              <w14:schemeClr w14:val="tx1"/>
            </w14:solidFill>
          </w14:textFill>
        </w:rPr>
        <w:t xml:space="preserve"> Multi-core processors allow one server to run many workloads concurrently. Commodity servers provide scalable capacity at lower cost than specialised machines. High-capacity storage supports large databases, files and backups. High-speed networks connect servers and users with low latency. Large data centres provide power, cooling, physical security and redundant connectivity. Hardware virtualisation support makes it possible to divide a physical machine into isolated virtual machines.</w:t>
      </w:r>
    </w:p>
    <w:p w14:paraId="429F450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University's current stage.</w:t>
      </w:r>
      <w:r>
        <w:rPr>
          <w:rFonts w:ascii="Times New Roman" w:hAnsi="Times New Roman"/>
          <w:color w:val="000000" w:themeColor="text1"/>
          <w:sz w:val="24"/>
          <w:szCs w:val="24"/>
          <w14:textFill>
            <w14:solidFill>
              <w14:schemeClr w14:val="tx1"/>
            </w14:solidFill>
          </w14:textFill>
        </w:rPr>
        <w:t xml:space="preserve"> The university's 12 dedicated physical servers represent a traditional client–server / on-premises data-centre model. Each application has its own server, leading to average CPU utilisation of only about 15%. The system is centralised but not elastic. The rise above 95% during peak periods shows that fixed capacity is poorly matched to variable demand.</w:t>
      </w:r>
    </w:p>
    <w:p w14:paraId="3DB21064">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evolution is not simply a sequence of faster computers. Each stage changed how computing resources were shared, managed and accessed. Cloud computing combines distributed infrastructure with automation, metering, standard interfaces and service-level management.</w:t>
      </w:r>
    </w:p>
    <w:p w14:paraId="25239A9C">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university's existing dedicated servers show why hardware ownership alone does not guarantee good utilisation. Consolidation and cloud provisioning use modern hardware more efficiently, but the capacity plan must still account for peak demand and failure reserve.</w:t>
      </w:r>
    </w:p>
    <w:p w14:paraId="16B100F0">
      <w:pPr>
        <w:jc w:val="center"/>
        <w:rPr>
          <w:color w:val="000000" w:themeColor="text1"/>
          <w14:textFill>
            <w14:solidFill>
              <w14:schemeClr w14:val="tx1"/>
            </w14:solidFill>
          </w14:textFill>
        </w:rPr>
      </w:pPr>
      <w:r>
        <w:rPr>
          <w:color w:val="000000" w:themeColor="text1"/>
          <w:sz w:val="24"/>
          <w:szCs w:val="24"/>
          <w14:textFill>
            <w14:solidFill>
              <w14:schemeClr w14:val="tx1"/>
            </w14:solidFill>
          </w14:textFill>
        </w:rPr>
        <w:drawing>
          <wp:inline distT="0" distB="0" distL="114300" distR="114300">
            <wp:extent cx="2863215" cy="2680335"/>
            <wp:effectExtent l="0" t="0" r="6985" b="12065"/>
            <wp:docPr id="15" name="Picture 15" descr="Slide_2_Cloud_internet_data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lide_2_Cloud_internet_datacenter"/>
                    <pic:cNvPicPr>
                      <a:picLocks noChangeAspect="1"/>
                    </pic:cNvPicPr>
                  </pic:nvPicPr>
                  <pic:blipFill>
                    <a:blip r:embed="rId9"/>
                    <a:srcRect l="4563"/>
                    <a:stretch>
                      <a:fillRect/>
                    </a:stretch>
                  </pic:blipFill>
                  <pic:spPr>
                    <a:xfrm>
                      <a:off x="0" y="0"/>
                      <a:ext cx="2863215" cy="2680335"/>
                    </a:xfrm>
                    <a:prstGeom prst="rect">
                      <a:avLst/>
                    </a:prstGeom>
                    <a:effectLst>
                      <a:softEdge rad="31750"/>
                    </a:effectLst>
                  </pic:spPr>
                </pic:pic>
              </a:graphicData>
            </a:graphic>
          </wp:inline>
        </w:drawing>
      </w:r>
      <w:r>
        <w:rPr>
          <w:color w:val="000000" w:themeColor="text1"/>
          <w:sz w:val="24"/>
          <w:szCs w:val="24"/>
          <w14:textFill>
            <w14:solidFill>
              <w14:schemeClr w14:val="tx1"/>
            </w14:solidFill>
          </w14:textFill>
        </w:rPr>
        <w:br w:type="page"/>
      </w:r>
    </w:p>
    <w:p w14:paraId="331E170E">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2.1 </w:t>
      </w:r>
      <w:r>
        <w:rPr>
          <w:rFonts w:ascii="Times New Roman" w:hAnsi="Times New Roman"/>
          <w:b/>
          <w:color w:val="000000" w:themeColor="text1"/>
          <w:sz w:val="24"/>
          <w14:textFill>
            <w14:solidFill>
              <w14:schemeClr w14:val="tx1"/>
            </w14:solidFill>
          </w14:textFill>
        </w:rPr>
        <w:t>Computing evolution timeline</w:t>
      </w:r>
    </w:p>
    <w:p w14:paraId="2CA4131D">
      <w:pPr>
        <w:spacing w:before="80" w:after="80"/>
        <w:rPr>
          <w:rFonts w:ascii="Times New Roman" w:hAnsi="Times New Roman"/>
          <w:b/>
          <w:color w:val="000000" w:themeColor="text1"/>
          <w:sz w:val="24"/>
          <w14:textFill>
            <w14:solidFill>
              <w14:schemeClr w14:val="tx1"/>
            </w14:solidFill>
          </w14:textFill>
        </w:rPr>
      </w:pPr>
    </w:p>
    <w:p w14:paraId="4279C23D">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5661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566160"/>
                    </a:xfrm>
                    <a:prstGeom prst="rect">
                      <a:avLst/>
                    </a:prstGeom>
                  </pic:spPr>
                </pic:pic>
              </a:graphicData>
            </a:graphic>
          </wp:inline>
        </w:drawing>
      </w:r>
    </w:p>
    <w:p w14:paraId="5441EB16">
      <w:pPr>
        <w:spacing w:before="80" w:after="80"/>
        <w:rPr>
          <w:rFonts w:ascii="Times New Roman" w:hAnsi="Times New Roman"/>
          <w:b/>
          <w:color w:val="000000" w:themeColor="text1"/>
          <w:sz w:val="24"/>
          <w14:textFill>
            <w14:solidFill>
              <w14:schemeClr w14:val="tx1"/>
            </w14:solidFill>
          </w14:textFill>
        </w:rPr>
      </w:pPr>
    </w:p>
    <w:p w14:paraId="07C46BD0">
      <w:pPr>
        <w:spacing w:before="80" w:after="80"/>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2</w:t>
      </w:r>
      <w:r>
        <w:rPr>
          <w:rFonts w:hint="default" w:ascii="Times New Roman" w:hAnsi="Times New Roman"/>
          <w:b/>
          <w:color w:val="000000" w:themeColor="text1"/>
          <w:sz w:val="24"/>
          <w:lang w:val="en-IN"/>
          <w14:textFill>
            <w14:solidFill>
              <w14:schemeClr w14:val="tx1"/>
            </w14:solidFill>
          </w14:textFill>
        </w:rPr>
        <w:t>.2</w:t>
      </w:r>
      <w:r>
        <w:rPr>
          <w:rFonts w:ascii="Times New Roman" w:hAnsi="Times New Roman"/>
          <w:b/>
          <w:color w:val="000000" w:themeColor="text1"/>
          <w:sz w:val="24"/>
          <w14:textFill>
            <w14:solidFill>
              <w14:schemeClr w14:val="tx1"/>
            </w14:solidFill>
          </w14:textFill>
        </w:rPr>
        <w:t>. Explanation of the diagram</w:t>
      </w:r>
    </w:p>
    <w:p w14:paraId="40EFB2EE">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19"/>
          <w14:textFill>
            <w14:solidFill>
              <w14:schemeClr w14:val="tx1"/>
            </w14:solidFill>
          </w14:textFill>
        </w:rPr>
        <w:t>How each stage solved a limitation.</w:t>
      </w:r>
      <w:r>
        <w:rPr>
          <w:rFonts w:ascii="Times New Roman" w:hAnsi="Times New Roman"/>
          <w:color w:val="000000" w:themeColor="text1"/>
          <w:sz w:val="19"/>
          <w14:textFill>
            <w14:solidFill>
              <w14:schemeClr w14:val="tx1"/>
            </w14:solidFill>
          </w14:textFill>
        </w:rPr>
        <w:t xml:space="preserve"> Mainframes offered central control but were expensive and concentrated. </w:t>
      </w:r>
      <w:r>
        <w:rPr>
          <w:rFonts w:ascii="Times New Roman" w:hAnsi="Times New Roman"/>
          <w:color w:val="000000" w:themeColor="text1"/>
          <w:sz w:val="24"/>
          <w:szCs w:val="24"/>
          <w14:textFill>
            <w14:solidFill>
              <w14:schemeClr w14:val="tx1"/>
            </w14:solidFill>
          </w14:textFill>
        </w:rPr>
        <w:t>Minicomputers reduced the cost of departmental access. PCs improved individual access but created isolated data. Client–server systems enabled shared databases and applications. Clusters improved performance and availability. Grid computing used geographically distributed resources. Utility computing introduced metering. Cloud computing added self-service provisioning, broad access and rapid elasticity.</w:t>
      </w:r>
    </w:p>
    <w:p w14:paraId="00CC06A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Hardware-to-cloud relationship.</w:t>
      </w:r>
      <w:r>
        <w:rPr>
          <w:rFonts w:ascii="Times New Roman" w:hAnsi="Times New Roman"/>
          <w:color w:val="000000" w:themeColor="text1"/>
          <w:sz w:val="24"/>
          <w:szCs w:val="24"/>
          <w14:textFill>
            <w14:solidFill>
              <w14:schemeClr w14:val="tx1"/>
            </w14:solidFill>
          </w14:textFill>
        </w:rPr>
        <w:t xml:space="preserve"> For example, multi-core processors and a hypervisor allow one physical host to run separate SIS, library and application virtual machines. High-speed networks connect these services across four campuses. Replicated storage supports backups and disaster recovery. These advances make a shared cloud platform practical.</w:t>
      </w:r>
    </w:p>
    <w:p w14:paraId="48F014F2">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4979E896">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5A5FFC20">
      <w:pPr>
        <w:spacing w:before="80" w:after="80"/>
        <w:rPr>
          <w:rFonts w:hint="default" w:ascii="Times New Roman" w:hAnsi="Times New Roman"/>
          <w:b/>
          <w:color w:val="000000" w:themeColor="text1"/>
          <w:sz w:val="24"/>
          <w:lang w:val="en-IN"/>
          <w14:textFill>
            <w14:solidFill>
              <w14:schemeClr w14:val="tx1"/>
            </w14:solidFill>
          </w14:textFill>
        </w:rPr>
      </w:pPr>
    </w:p>
    <w:p w14:paraId="1B0E3415">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2.3. </w:t>
      </w:r>
      <w:r>
        <w:rPr>
          <w:rFonts w:ascii="Times New Roman" w:hAnsi="Times New Roman"/>
          <w:b/>
          <w:color w:val="000000" w:themeColor="text1"/>
          <w:sz w:val="24"/>
          <w14:textFill>
            <w14:solidFill>
              <w14:schemeClr w14:val="tx1"/>
            </w14:solidFill>
          </w14:textFill>
        </w:rPr>
        <w:t>Comparison of infrastructure stages</w:t>
      </w:r>
    </w:p>
    <w:p w14:paraId="5AE1CDD9">
      <w:pPr>
        <w:spacing w:before="80" w:after="80"/>
        <w:rPr>
          <w:rFonts w:ascii="Times New Roman" w:hAnsi="Times New Roman"/>
          <w:b/>
          <w:color w:val="000000" w:themeColor="text1"/>
          <w:sz w:val="24"/>
          <w14:textFill>
            <w14:solidFill>
              <w14:schemeClr w14:val="tx1"/>
            </w14:solidFill>
          </w14:textFill>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1"/>
        <w:gridCol w:w="2263"/>
        <w:gridCol w:w="2317"/>
        <w:gridCol w:w="2331"/>
      </w:tblGrid>
      <w:tr w14:paraId="7245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3EE2073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Stage</w:t>
            </w:r>
          </w:p>
        </w:tc>
        <w:tc>
          <w:tcPr>
            <w:tcW w:w="261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95E773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Main feature</w:t>
            </w:r>
          </w:p>
        </w:tc>
        <w:tc>
          <w:tcPr>
            <w:tcW w:w="261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2374EC5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Limitation addressed</w:t>
            </w:r>
          </w:p>
        </w:tc>
        <w:tc>
          <w:tcPr>
            <w:tcW w:w="261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F8E3B7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Example in university context</w:t>
            </w:r>
          </w:p>
        </w:tc>
      </w:tr>
      <w:tr w14:paraId="1530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ACC7D1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Mainframe</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BC280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Central computer for many terminals</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D29B7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Shared access instead of separate machines</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03A587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Central student records processing</w:t>
            </w:r>
          </w:p>
        </w:tc>
      </w:tr>
      <w:tr w14:paraId="1C43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325DAE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PC</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F685C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Personal computing</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F6AF6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Individual access and local productivity</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702FDC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Staff desktop applications</w:t>
            </w:r>
          </w:p>
        </w:tc>
      </w:tr>
      <w:tr w14:paraId="42D20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D5181F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Client–server</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81914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Clients use central servers</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2C56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Shared data and services</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E3CBE6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Current SIS and library servers</w:t>
            </w:r>
          </w:p>
        </w:tc>
      </w:tr>
      <w:tr w14:paraId="45CC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67AB2C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Cluster / Grid</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1D2A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Multiple connected computers</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17F50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Performance and distributed capacity</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AEB636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Parallel analytics or batch processing</w:t>
            </w:r>
          </w:p>
        </w:tc>
      </w:tr>
      <w:tr w14:paraId="03F2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C9B517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Utility computing</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C3C5A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Metered computing resources</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0EF38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Pay according to consumption</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08C7E3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Usage-based infrastructure</w:t>
            </w:r>
          </w:p>
        </w:tc>
      </w:tr>
      <w:tr w14:paraId="01865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4ABA41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Cloud</w:t>
            </w:r>
          </w:p>
        </w:tc>
        <w:tc>
          <w:tcPr>
            <w:tcW w:w="261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3ABE5B4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On-demand pooled elastic services</w:t>
            </w:r>
          </w:p>
        </w:tc>
        <w:tc>
          <w:tcPr>
            <w:tcW w:w="261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5B2173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Fixed-capacity and slow provisioning</w:t>
            </w:r>
          </w:p>
        </w:tc>
        <w:tc>
          <w:tcPr>
            <w:tcW w:w="2613"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9BBC18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Elastic student portal and exam platform</w:t>
            </w:r>
          </w:p>
        </w:tc>
      </w:tr>
    </w:tbl>
    <w:p w14:paraId="7DE99787">
      <w:pPr>
        <w:spacing w:before="80" w:after="80"/>
        <w:rPr>
          <w:rFonts w:hint="default" w:ascii="Times New Roman" w:hAnsi="Times New Roman"/>
          <w:b/>
          <w:color w:val="000000" w:themeColor="text1"/>
          <w:sz w:val="24"/>
          <w:lang w:val="en-IN"/>
          <w14:textFill>
            <w14:solidFill>
              <w14:schemeClr w14:val="tx1"/>
            </w14:solidFill>
          </w14:textFill>
        </w:rPr>
      </w:pPr>
    </w:p>
    <w:p w14:paraId="295F4858">
      <w:pPr>
        <w:spacing w:before="80" w:after="80"/>
        <w:jc w:val="both"/>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2.4</w:t>
      </w:r>
      <w:r>
        <w:rPr>
          <w:rFonts w:ascii="Times New Roman" w:hAnsi="Times New Roman"/>
          <w:b/>
          <w:color w:val="000000" w:themeColor="text1"/>
          <w:sz w:val="24"/>
          <w14:textFill>
            <w14:solidFill>
              <w14:schemeClr w14:val="tx1"/>
            </w14:solidFill>
          </w14:textFill>
        </w:rPr>
        <w:t>. Analysis and application to the university</w:t>
      </w:r>
    </w:p>
    <w:p w14:paraId="114211F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Key comparison.</w:t>
      </w:r>
      <w:r>
        <w:rPr>
          <w:rFonts w:ascii="Times New Roman" w:hAnsi="Times New Roman"/>
          <w:color w:val="000000" w:themeColor="text1"/>
          <w:sz w:val="24"/>
          <w:szCs w:val="24"/>
          <w14:textFill>
            <w14:solidFill>
              <w14:schemeClr w14:val="tx1"/>
            </w14:solidFill>
          </w14:textFill>
        </w:rPr>
        <w:t xml:space="preserve"> Traditional infrastructure requires the university to buy capacity before it is needed. Cloud infrastructure allows capacity to be provisioned as demand changes. Clusters and grids contribute distributed processing, while cloud adds service management, APIs, automated provisioning and measured usage.</w:t>
      </w:r>
    </w:p>
    <w:p w14:paraId="286473DD">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Conclusion.</w:t>
      </w:r>
      <w:r>
        <w:rPr>
          <w:rFonts w:ascii="Times New Roman" w:hAnsi="Times New Roman"/>
          <w:color w:val="000000" w:themeColor="text1"/>
          <w:sz w:val="24"/>
          <w:szCs w:val="24"/>
          <w14:textFill>
            <w14:solidFill>
              <w14:schemeClr w14:val="tx1"/>
            </w14:solidFill>
          </w14:textFill>
        </w:rPr>
        <w:t xml:space="preserve"> The university should move from dedicated physical servers towards virtualised and cloud-hosted services. The move is possible because modern processors, storage, networking and data-centre engineering provide the foundation for safe resource sharing. Migration should be gradual so that legacy applications can be tested before retirement.</w:t>
      </w:r>
    </w:p>
    <w:p w14:paraId="6309EE9B">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the university's infrastructure should progress from isolated dedicated servers to a virtualised and cloud-enabled platform, with capacity validated against real workload measurements.</w:t>
      </w:r>
    </w:p>
    <w:p w14:paraId="3A1AC6F9">
      <w:pPr>
        <w:rPr>
          <w:color w:val="000000" w:themeColor="text1"/>
          <w14:textFill>
            <w14:solidFill>
              <w14:schemeClr w14:val="tx1"/>
            </w14:solidFill>
          </w14:textFill>
        </w:rPr>
      </w:pPr>
    </w:p>
    <w:p w14:paraId="077B10DC">
      <w:pPr>
        <w:rPr>
          <w:color w:val="000000" w:themeColor="text1"/>
          <w14:textFill>
            <w14:solidFill>
              <w14:schemeClr w14:val="tx1"/>
            </w14:solidFill>
          </w14:textFill>
        </w:rPr>
      </w:pPr>
    </w:p>
    <w:p w14:paraId="7F780479">
      <w:pPr>
        <w:rPr>
          <w:color w:val="000000" w:themeColor="text1"/>
          <w14:textFill>
            <w14:solidFill>
              <w14:schemeClr w14:val="tx1"/>
            </w14:solidFill>
          </w14:textFill>
        </w:rPr>
      </w:pPr>
    </w:p>
    <w:p w14:paraId="43B0ADA7">
      <w:pPr>
        <w:rPr>
          <w:color w:val="000000" w:themeColor="text1"/>
          <w14:textFill>
            <w14:solidFill>
              <w14:schemeClr w14:val="tx1"/>
            </w14:solidFill>
          </w14:textFill>
        </w:rPr>
      </w:pPr>
    </w:p>
    <w:p w14:paraId="7882AA59">
      <w:pPr>
        <w:rPr>
          <w:color w:val="000000" w:themeColor="text1"/>
          <w14:textFill>
            <w14:solidFill>
              <w14:schemeClr w14:val="tx1"/>
            </w14:solidFill>
          </w14:textFill>
        </w:rPr>
      </w:pPr>
    </w:p>
    <w:p w14:paraId="6C9EC462">
      <w:pPr>
        <w:rPr>
          <w:color w:val="000000" w:themeColor="text1"/>
          <w14:textFill>
            <w14:solidFill>
              <w14:schemeClr w14:val="tx1"/>
            </w14:solidFill>
          </w14:textFill>
        </w:rPr>
      </w:pPr>
    </w:p>
    <w:p w14:paraId="0F35FAD1">
      <w:pPr>
        <w:rPr>
          <w:color w:val="000000" w:themeColor="text1"/>
          <w14:textFill>
            <w14:solidFill>
              <w14:schemeClr w14:val="tx1"/>
            </w14:solidFill>
          </w14:textFill>
        </w:rPr>
      </w:pPr>
    </w:p>
    <w:p w14:paraId="3C908BCC">
      <w:pPr>
        <w:rPr>
          <w:color w:val="000000" w:themeColor="text1"/>
          <w14:textFill>
            <w14:solidFill>
              <w14:schemeClr w14:val="tx1"/>
            </w14:solidFill>
          </w14:textFill>
        </w:rPr>
      </w:pPr>
    </w:p>
    <w:p w14:paraId="210C30A1">
      <w:pPr>
        <w:rPr>
          <w:color w:val="000000" w:themeColor="text1"/>
          <w14:textFill>
            <w14:solidFill>
              <w14:schemeClr w14:val="tx1"/>
            </w14:solidFill>
          </w14:textFill>
        </w:rPr>
      </w:pPr>
    </w:p>
    <w:p w14:paraId="37F8159F">
      <w:pPr>
        <w:rPr>
          <w:color w:val="000000" w:themeColor="text1"/>
          <w14:textFill>
            <w14:solidFill>
              <w14:schemeClr w14:val="tx1"/>
            </w14:solidFill>
          </w14:textFill>
        </w:rPr>
      </w:pPr>
    </w:p>
    <w:p w14:paraId="48A6F6B7">
      <w:pPr>
        <w:rPr>
          <w:color w:val="000000" w:themeColor="text1"/>
          <w14:textFill>
            <w14:solidFill>
              <w14:schemeClr w14:val="tx1"/>
            </w14:solidFill>
          </w14:textFill>
        </w:rPr>
      </w:pPr>
    </w:p>
    <w:p w14:paraId="6538D9F3">
      <w:pPr>
        <w:rPr>
          <w:color w:val="000000" w:themeColor="text1"/>
          <w14:textFill>
            <w14:solidFill>
              <w14:schemeClr w14:val="tx1"/>
            </w14:solidFill>
          </w14:textFill>
        </w:rPr>
      </w:pPr>
    </w:p>
    <w:p w14:paraId="0D0FE89B">
      <w:pPr>
        <w:rPr>
          <w:color w:val="000000" w:themeColor="text1"/>
          <w14:textFill>
            <w14:solidFill>
              <w14:schemeClr w14:val="tx1"/>
            </w14:solidFill>
          </w14:textFill>
        </w:rPr>
      </w:pPr>
    </w:p>
    <w:p w14:paraId="7CB93533">
      <w:pPr>
        <w:rPr>
          <w:color w:val="000000" w:themeColor="text1"/>
          <w14:textFill>
            <w14:solidFill>
              <w14:schemeClr w14:val="tx1"/>
            </w14:solidFill>
          </w14:textFill>
        </w:rPr>
      </w:pPr>
    </w:p>
    <w:p w14:paraId="0F34DFA8">
      <w:pPr>
        <w:rPr>
          <w:color w:val="000000" w:themeColor="text1"/>
          <w14:textFill>
            <w14:solidFill>
              <w14:schemeClr w14:val="tx1"/>
            </w14:solidFill>
          </w14:textFill>
        </w:rPr>
      </w:pPr>
    </w:p>
    <w:p w14:paraId="68CC9690">
      <w:pPr>
        <w:rPr>
          <w:color w:val="000000" w:themeColor="text1"/>
          <w14:textFill>
            <w14:solidFill>
              <w14:schemeClr w14:val="tx1"/>
            </w14:solidFill>
          </w14:textFill>
        </w:rPr>
      </w:pPr>
    </w:p>
    <w:p w14:paraId="4D90055C">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3 – EVOLUTION OF INTERNET SOFTWARE</w:t>
      </w:r>
    </w:p>
    <w:p w14:paraId="1208D3CA">
      <w:pPr>
        <w:jc w:val="both"/>
        <w:rPr>
          <w:color w:val="000000" w:themeColor="text1"/>
          <w14:textFill>
            <w14:solidFill>
              <w14:schemeClr w14:val="tx1"/>
            </w14:solidFill>
          </w14:textFill>
        </w:rPr>
      </w:pPr>
    </w:p>
    <w:p w14:paraId="24866C74">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3</w:t>
      </w:r>
      <w:r>
        <w:rPr>
          <w:rFonts w:ascii="Times New Roman" w:hAnsi="Times New Roman"/>
          <w:b/>
          <w:color w:val="000000" w:themeColor="text1"/>
          <w:sz w:val="24"/>
          <w:szCs w:val="24"/>
          <w14:textFill>
            <w14:solidFill>
              <w14:schemeClr w14:val="tx1"/>
            </w14:solidFill>
          </w14:textFill>
        </w:rPr>
        <w:t>. Introduction and core concepts</w:t>
      </w:r>
    </w:p>
    <w:p w14:paraId="0826006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From static web to cloud applications.</w:t>
      </w:r>
      <w:r>
        <w:rPr>
          <w:rFonts w:ascii="Times New Roman" w:hAnsi="Times New Roman"/>
          <w:color w:val="000000" w:themeColor="text1"/>
          <w:sz w:val="24"/>
          <w:szCs w:val="24"/>
          <w14:textFill>
            <w14:solidFill>
              <w14:schemeClr w14:val="tx1"/>
            </w14:solidFill>
          </w14:textFill>
        </w:rPr>
        <w:t xml:space="preserve"> Early websites delivered static HTML pages. Dynamic websites later generated pages using server-side programs and databases. Web 2.0 introduced interactive, user-generated and collaborative experiences. Service-Oriented Architecture (SOA) organised software as reusable services with defined interfaces. Mashups combined data or functions from multiple services. Cloud-hosted applications now deliver complete software capabilities through browsers, mobile applications and APIs.</w:t>
      </w:r>
    </w:p>
    <w:p w14:paraId="1E057CF4">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Role of internet technologies.</w:t>
      </w:r>
      <w:r>
        <w:rPr>
          <w:rFonts w:ascii="Times New Roman" w:hAnsi="Times New Roman"/>
          <w:color w:val="000000" w:themeColor="text1"/>
          <w:sz w:val="24"/>
          <w:szCs w:val="24"/>
          <w14:textFill>
            <w14:solidFill>
              <w14:schemeClr w14:val="tx1"/>
            </w14:solidFill>
          </w14:textFill>
        </w:rPr>
        <w:t xml:space="preserve"> A browser displays the user interface and sends requests. HTTP/HTTPS defines request and response communication. AJAX allows a page to retrieve data asynchronously without reloading the entire page. APIs expose functions in a controlled and documented way. JSON is a compact data format commonly used by REST APIs; XML is structured and is often used with SOAP-based services. HTTPS protects data in transit through encryption.</w:t>
      </w:r>
    </w:p>
    <w:p w14:paraId="330A23FE">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Relevance to the university.</w:t>
      </w:r>
      <w:r>
        <w:rPr>
          <w:rFonts w:ascii="Times New Roman" w:hAnsi="Times New Roman"/>
          <w:color w:val="000000" w:themeColor="text1"/>
          <w:sz w:val="24"/>
          <w:szCs w:val="24"/>
          <w14:textFill>
            <w14:solidFill>
              <w14:schemeClr w14:val="tx1"/>
            </w14:solidFill>
          </w14:textFill>
        </w:rPr>
        <w:t xml:space="preserve"> The current university applications are monolithic and have no public interfaces for mobile apps or partner colleges. A service-based design can expose student profile, result, fee and library functions through APIs. The mobile app and 40 affiliated colleges can then use the same controlled interfaces instead of directly accessing internal databases.</w:t>
      </w:r>
    </w:p>
    <w:p w14:paraId="7376C5B8">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important change is the separation of the presentation layer from business logic and data. A student mobile app, college portal and browser interface can all call the same documented service. This reduces duplicated code and allows the university to control access centrally.</w:t>
      </w:r>
    </w:p>
    <w:p w14:paraId="3417DEC3">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 web application should not expose internal database credentials or accept arbitrary database queries from clients. It should expose narrowly defined business operations, validate every input and return only the information required by the caller.</w:t>
      </w:r>
    </w:p>
    <w:p w14:paraId="5311B86D">
      <w:pPr>
        <w:spacing w:after="80" w:line="252" w:lineRule="auto"/>
        <w:jc w:val="both"/>
        <w:rPr>
          <w:rFonts w:ascii="Times New Roman" w:hAnsi="Times New Roman"/>
          <w:color w:val="000000" w:themeColor="text1"/>
          <w:sz w:val="24"/>
          <w:szCs w:val="24"/>
          <w14:textFill>
            <w14:solidFill>
              <w14:schemeClr w14:val="tx1"/>
            </w14:solidFill>
          </w14:textFill>
        </w:rPr>
      </w:pPr>
    </w:p>
    <w:p w14:paraId="2890A36E">
      <w:pPr>
        <w:jc w:val="center"/>
        <w:rPr>
          <w:rFonts w:hint="default"/>
          <w:color w:val="000000" w:themeColor="text1"/>
          <w:sz w:val="24"/>
          <w:szCs w:val="24"/>
          <w:lang w:val="en-IN"/>
          <w14:textFill>
            <w14:solidFill>
              <w14:schemeClr w14:val="tx1"/>
            </w14:solidFill>
          </w14:textFill>
        </w:rPr>
      </w:pPr>
      <w:r>
        <w:rPr>
          <w:rFonts w:hint="default"/>
          <w:color w:val="000000" w:themeColor="text1"/>
          <w:sz w:val="24"/>
          <w:szCs w:val="24"/>
          <w:lang w:val="en-IN"/>
          <w14:textFill>
            <w14:solidFill>
              <w14:schemeClr w14:val="tx1"/>
            </w14:solidFill>
          </w14:textFill>
        </w:rPr>
        <w:drawing>
          <wp:inline distT="0" distB="0" distL="114300" distR="114300">
            <wp:extent cx="3810000" cy="3248025"/>
            <wp:effectExtent l="0" t="0" r="0" b="3175"/>
            <wp:docPr id="16" name="Picture 16" descr="Task_03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sk_03_Cloud_Computing"/>
                    <pic:cNvPicPr>
                      <a:picLocks noChangeAspect="1"/>
                    </pic:cNvPicPr>
                  </pic:nvPicPr>
                  <pic:blipFill>
                    <a:blip r:embed="rId11"/>
                    <a:stretch>
                      <a:fillRect/>
                    </a:stretch>
                  </pic:blipFill>
                  <pic:spPr>
                    <a:xfrm>
                      <a:off x="0" y="0"/>
                      <a:ext cx="3810000" cy="3248025"/>
                    </a:xfrm>
                    <a:prstGeom prst="rect">
                      <a:avLst/>
                    </a:prstGeom>
                    <a:effectLst>
                      <a:softEdge rad="31750"/>
                    </a:effectLst>
                  </pic:spPr>
                </pic:pic>
              </a:graphicData>
            </a:graphic>
          </wp:inline>
        </w:drawing>
      </w:r>
      <w:r>
        <w:rPr>
          <w:color w:val="000000" w:themeColor="text1"/>
          <w:sz w:val="24"/>
          <w:szCs w:val="24"/>
          <w14:textFill>
            <w14:solidFill>
              <w14:schemeClr w14:val="tx1"/>
            </w14:solidFill>
          </w14:textFill>
        </w:rPr>
        <w:br w:type="page"/>
      </w:r>
    </w:p>
    <w:p w14:paraId="6EAE08C6">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3.1. </w:t>
      </w:r>
      <w:r>
        <w:rPr>
          <w:rFonts w:ascii="Times New Roman" w:hAnsi="Times New Roman"/>
          <w:b/>
          <w:color w:val="000000" w:themeColor="text1"/>
          <w:sz w:val="24"/>
          <w14:textFill>
            <w14:solidFill>
              <w14:schemeClr w14:val="tx1"/>
            </w14:solidFill>
          </w14:textFill>
        </w:rPr>
        <w:t>Internet software request flow</w:t>
      </w:r>
    </w:p>
    <w:p w14:paraId="37492FD1">
      <w:pPr>
        <w:spacing w:before="80" w:after="80"/>
        <w:rPr>
          <w:rFonts w:ascii="Times New Roman" w:hAnsi="Times New Roman"/>
          <w:b/>
          <w:color w:val="000000" w:themeColor="text1"/>
          <w:sz w:val="24"/>
          <w14:textFill>
            <w14:solidFill>
              <w14:schemeClr w14:val="tx1"/>
            </w14:solidFill>
          </w14:textFill>
        </w:rPr>
      </w:pPr>
    </w:p>
    <w:p w14:paraId="3B410233">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054725" cy="3566160"/>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54725" cy="3566160"/>
                    </a:xfrm>
                    <a:prstGeom prst="rect">
                      <a:avLst/>
                    </a:prstGeom>
                  </pic:spPr>
                </pic:pic>
              </a:graphicData>
            </a:graphic>
          </wp:inline>
        </w:drawing>
      </w:r>
    </w:p>
    <w:p w14:paraId="1B2860F6">
      <w:pPr>
        <w:spacing w:before="80" w:after="80"/>
        <w:rPr>
          <w:rFonts w:hint="default" w:ascii="Times New Roman" w:hAnsi="Times New Roman"/>
          <w:b/>
          <w:color w:val="000000" w:themeColor="text1"/>
          <w:sz w:val="24"/>
          <w:lang w:val="en-IN"/>
          <w14:textFill>
            <w14:solidFill>
              <w14:schemeClr w14:val="tx1"/>
            </w14:solidFill>
          </w14:textFill>
        </w:rPr>
      </w:pPr>
    </w:p>
    <w:p w14:paraId="2B41F840">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3.</w:t>
      </w:r>
      <w:r>
        <w:rPr>
          <w:rFonts w:ascii="Times New Roman" w:hAnsi="Times New Roman"/>
          <w:b/>
          <w:color w:val="000000" w:themeColor="text1"/>
          <w:sz w:val="24"/>
          <w14:textFill>
            <w14:solidFill>
              <w14:schemeClr w14:val="tx1"/>
            </w14:solidFill>
          </w14:textFill>
        </w:rPr>
        <w:t>2. Explanation of the diagram</w:t>
      </w:r>
    </w:p>
    <w:p w14:paraId="0821CF29">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Example interaction.</w:t>
      </w:r>
      <w:r>
        <w:rPr>
          <w:rFonts w:ascii="Times New Roman" w:hAnsi="Times New Roman"/>
          <w:color w:val="000000" w:themeColor="text1"/>
          <w:sz w:val="24"/>
          <w:szCs w:val="24"/>
          <w14:textFill>
            <w14:solidFill>
              <w14:schemeClr w14:val="tx1"/>
            </w14:solidFill>
          </w14:textFill>
        </w:rPr>
        <w:t xml:space="preserve"> A student selects “View Result” in the mobile app. The app sends an HTTPS GET request to the result API with the student's authorised identity. The API verifies access, retrieves the result from the database and returns a JSON response. The app displays the subject and marks without receiving direct database credentials.</w:t>
      </w:r>
    </w:p>
    <w:p w14:paraId="517B9937">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Why APIs matter.</w:t>
      </w:r>
      <w:r>
        <w:rPr>
          <w:rFonts w:ascii="Times New Roman" w:hAnsi="Times New Roman"/>
          <w:color w:val="000000" w:themeColor="text1"/>
          <w:sz w:val="24"/>
          <w:szCs w:val="24"/>
          <w14:textFill>
            <w14:solidFill>
              <w14:schemeClr w14:val="tx1"/>
            </w14:solidFill>
          </w14:textFill>
        </w:rPr>
        <w:t xml:space="preserve"> APIs separate the user interface from internal implementation. The university can update the database or application without rewriting every client, provided the API contract remains compatible. Rate limits, authentication, validation and logging help protect services when many colleges connect.</w:t>
      </w:r>
    </w:p>
    <w:p w14:paraId="7BFA632F">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7C26B82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324B09CD">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3.3. </w:t>
      </w:r>
      <w:r>
        <w:rPr>
          <w:rFonts w:ascii="Times New Roman" w:hAnsi="Times New Roman"/>
          <w:b/>
          <w:color w:val="000000" w:themeColor="text1"/>
          <w:sz w:val="24"/>
          <w14:textFill>
            <w14:solidFill>
              <w14:schemeClr w14:val="tx1"/>
            </w14:solidFill>
          </w14:textFill>
        </w:rPr>
        <w:t>Software delivery comparison</w:t>
      </w:r>
    </w:p>
    <w:tbl>
      <w:tblPr>
        <w:tblStyle w:val="18"/>
        <w:tblW w:w="9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gridCol w:w="2284"/>
        <w:gridCol w:w="2376"/>
        <w:gridCol w:w="2351"/>
      </w:tblGrid>
      <w:tr w14:paraId="71BD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2326"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4B14DC1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Aspect</w:t>
            </w:r>
          </w:p>
        </w:tc>
        <w:tc>
          <w:tcPr>
            <w:tcW w:w="228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EBDA13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Desktop software</w:t>
            </w:r>
          </w:p>
        </w:tc>
        <w:tc>
          <w:tcPr>
            <w:tcW w:w="2376"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2697BE8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Client–server software</w:t>
            </w:r>
          </w:p>
        </w:tc>
        <w:tc>
          <w:tcPr>
            <w:tcW w:w="2351"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DBC5CF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Web-delivered software</w:t>
            </w:r>
          </w:p>
        </w:tc>
      </w:tr>
      <w:tr w14:paraId="6984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32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32ECA1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Installation</w:t>
            </w:r>
          </w:p>
        </w:tc>
        <w:tc>
          <w:tcPr>
            <w:tcW w:w="22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B1A8F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Installed on each computer</w:t>
            </w:r>
          </w:p>
        </w:tc>
        <w:tc>
          <w:tcPr>
            <w:tcW w:w="23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82838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Client software plus server</w:t>
            </w:r>
          </w:p>
        </w:tc>
        <w:tc>
          <w:tcPr>
            <w:tcW w:w="235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BB3820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Usually accessed through browser/app</w:t>
            </w:r>
          </w:p>
        </w:tc>
      </w:tr>
      <w:tr w14:paraId="69A2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32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8125AB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Updates</w:t>
            </w:r>
          </w:p>
        </w:tc>
        <w:tc>
          <w:tcPr>
            <w:tcW w:w="22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14B5B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Often manual per device</w:t>
            </w:r>
          </w:p>
        </w:tc>
        <w:tc>
          <w:tcPr>
            <w:tcW w:w="23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87AE0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Client and server updates</w:t>
            </w:r>
          </w:p>
        </w:tc>
        <w:tc>
          <w:tcPr>
            <w:tcW w:w="235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E6D83B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Central server-side updates</w:t>
            </w:r>
          </w:p>
        </w:tc>
      </w:tr>
      <w:tr w14:paraId="4BA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32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3D336B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Access</w:t>
            </w:r>
          </w:p>
        </w:tc>
        <w:tc>
          <w:tcPr>
            <w:tcW w:w="22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B080C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Usually device-bound</w:t>
            </w:r>
          </w:p>
        </w:tc>
        <w:tc>
          <w:tcPr>
            <w:tcW w:w="23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80654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Network-connected clients</w:t>
            </w:r>
          </w:p>
        </w:tc>
        <w:tc>
          <w:tcPr>
            <w:tcW w:w="235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2026DA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Internet-connected authorised users</w:t>
            </w:r>
          </w:p>
        </w:tc>
      </w:tr>
      <w:tr w14:paraId="27A0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32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47DDCB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Integration</w:t>
            </w:r>
          </w:p>
        </w:tc>
        <w:tc>
          <w:tcPr>
            <w:tcW w:w="22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492F1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May be limited</w:t>
            </w:r>
          </w:p>
        </w:tc>
        <w:tc>
          <w:tcPr>
            <w:tcW w:w="23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9B6F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Depends on interfaces</w:t>
            </w:r>
          </w:p>
        </w:tc>
        <w:tc>
          <w:tcPr>
            <w:tcW w:w="235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74BFF0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APIs support integration</w:t>
            </w:r>
          </w:p>
        </w:tc>
      </w:tr>
      <w:tr w14:paraId="73C1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2326"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9989A1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University example</w:t>
            </w:r>
          </w:p>
        </w:tc>
        <w:tc>
          <w:tcPr>
            <w:tcW w:w="228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03075BC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Local office package</w:t>
            </w:r>
          </w:p>
        </w:tc>
        <w:tc>
          <w:tcPr>
            <w:tcW w:w="2376"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204F408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Legacy SIS client</w:t>
            </w:r>
          </w:p>
        </w:tc>
        <w:tc>
          <w:tcPr>
            <w:tcW w:w="2351"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E0D924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Cloud student portal / LMS</w:t>
            </w:r>
          </w:p>
        </w:tc>
      </w:tr>
    </w:tbl>
    <w:p w14:paraId="7EBA8576">
      <w:pPr>
        <w:spacing w:before="80" w:after="80"/>
        <w:jc w:val="both"/>
        <w:rPr>
          <w:rFonts w:ascii="Times New Roman" w:hAnsi="Times New Roman"/>
          <w:b/>
          <w:color w:val="000000" w:themeColor="text1"/>
          <w:sz w:val="24"/>
          <w14:textFill>
            <w14:solidFill>
              <w14:schemeClr w14:val="tx1"/>
            </w14:solidFill>
          </w14:textFill>
        </w:rPr>
      </w:pPr>
    </w:p>
    <w:p w14:paraId="062941CB">
      <w:pPr>
        <w:spacing w:before="80" w:after="8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3</w:t>
      </w:r>
      <w:r>
        <w:rPr>
          <w:rFonts w:hint="default" w:ascii="Times New Roman" w:hAnsi="Times New Roman"/>
          <w:b/>
          <w:color w:val="000000" w:themeColor="text1"/>
          <w:sz w:val="24"/>
          <w:lang w:val="en-IN"/>
          <w14:textFill>
            <w14:solidFill>
              <w14:schemeClr w14:val="tx1"/>
            </w14:solidFill>
          </w14:textFill>
        </w:rPr>
        <w:t>.4</w:t>
      </w:r>
      <w:r>
        <w:rPr>
          <w:rFonts w:ascii="Times New Roman" w:hAnsi="Times New Roman"/>
          <w:b/>
          <w:color w:val="000000" w:themeColor="text1"/>
          <w:sz w:val="24"/>
          <w14:textFill>
            <w14:solidFill>
              <w14:schemeClr w14:val="tx1"/>
            </w14:solidFill>
          </w14:textFill>
        </w:rPr>
        <w:t>. Analysis and application to the university</w:t>
      </w:r>
    </w:p>
    <w:p w14:paraId="3AB63A46">
      <w:pPr>
        <w:spacing w:after="80" w:line="252" w:lineRule="auto"/>
        <w:jc w:val="both"/>
        <w:rPr>
          <w:color w:val="000000" w:themeColor="text1"/>
          <w:sz w:val="40"/>
          <w:szCs w:val="40"/>
          <w14:textFill>
            <w14:solidFill>
              <w14:schemeClr w14:val="tx1"/>
            </w14:solidFill>
          </w14:textFill>
        </w:rPr>
      </w:pPr>
      <w:r>
        <w:rPr>
          <w:rFonts w:ascii="Times New Roman" w:hAnsi="Times New Roman"/>
          <w:b/>
          <w:color w:val="000000" w:themeColor="text1"/>
          <w:sz w:val="24"/>
          <w:szCs w:val="40"/>
          <w14:textFill>
            <w14:solidFill>
              <w14:schemeClr w14:val="tx1"/>
            </w14:solidFill>
          </w14:textFill>
        </w:rPr>
        <w:t>SOA and APIs.</w:t>
      </w:r>
      <w:r>
        <w:rPr>
          <w:rFonts w:ascii="Times New Roman" w:hAnsi="Times New Roman"/>
          <w:color w:val="000000" w:themeColor="text1"/>
          <w:sz w:val="24"/>
          <w:szCs w:val="40"/>
          <w14:textFill>
            <w14:solidFill>
              <w14:schemeClr w14:val="tx1"/>
            </w14:solidFill>
          </w14:textFill>
        </w:rPr>
        <w:t xml:space="preserve"> SOA encourages reusable services such as identity, student records, payments and library search. Each service has a clear contract. REST is useful for lightweight web and mobile interactions. SOAP may be appropriate where formal contracts and enterprise messaging requirements exist.</w:t>
      </w:r>
    </w:p>
    <w:p w14:paraId="2C4E1A19">
      <w:pPr>
        <w:spacing w:after="80" w:line="252" w:lineRule="auto"/>
        <w:jc w:val="both"/>
        <w:rPr>
          <w:color w:val="000000" w:themeColor="text1"/>
          <w:sz w:val="40"/>
          <w:szCs w:val="40"/>
          <w14:textFill>
            <w14:solidFill>
              <w14:schemeClr w14:val="tx1"/>
            </w14:solidFill>
          </w14:textFill>
        </w:rPr>
      </w:pPr>
      <w:r>
        <w:rPr>
          <w:rFonts w:ascii="Times New Roman" w:hAnsi="Times New Roman"/>
          <w:b/>
          <w:color w:val="000000" w:themeColor="text1"/>
          <w:sz w:val="24"/>
          <w:szCs w:val="40"/>
          <w14:textFill>
            <w14:solidFill>
              <w14:schemeClr w14:val="tx1"/>
            </w14:solidFill>
          </w14:textFill>
        </w:rPr>
        <w:t>Design recommendation.</w:t>
      </w:r>
      <w:r>
        <w:rPr>
          <w:rFonts w:ascii="Times New Roman" w:hAnsi="Times New Roman"/>
          <w:color w:val="000000" w:themeColor="text1"/>
          <w:sz w:val="24"/>
          <w:szCs w:val="40"/>
          <w14:textFill>
            <w14:solidFill>
              <w14:schemeClr w14:val="tx1"/>
            </w14:solidFill>
          </w14:textFill>
        </w:rPr>
        <w:t xml:space="preserve"> Break the monolithic system into manageable services over time. Begin with read-only result lookup and library search, then add fee payment with stronger transaction controls. Put an API gateway in front of services, use HTTPS, validate every request, apply role-based access and record audit logs. This evolution improves integration while reducing the risk of replacing the entire system at once.</w:t>
      </w:r>
    </w:p>
    <w:p w14:paraId="565988DE">
      <w:pPr>
        <w:spacing w:after="80" w:line="252" w:lineRule="auto"/>
        <w:jc w:val="both"/>
        <w:rPr>
          <w:color w:val="000000" w:themeColor="text1"/>
          <w:sz w:val="40"/>
          <w:szCs w:val="40"/>
          <w14:textFill>
            <w14:solidFill>
              <w14:schemeClr w14:val="tx1"/>
            </w14:solidFill>
          </w14:textFill>
        </w:rPr>
      </w:pPr>
      <w:r>
        <w:rPr>
          <w:rFonts w:ascii="Times New Roman" w:hAnsi="Times New Roman"/>
          <w:color w:val="000000" w:themeColor="text1"/>
          <w:sz w:val="24"/>
          <w:szCs w:val="40"/>
          <w14:textFill>
            <w14:solidFill>
              <w14:schemeClr w14:val="tx1"/>
            </w14:solidFill>
          </w14:textFill>
        </w:rPr>
        <w:t>Therefore, API-based web software is the suitable direction for the university because it supports the mobile application, browser portal and partner-college integration through common controlled interfaces.</w:t>
      </w:r>
    </w:p>
    <w:p w14:paraId="3FF4A444">
      <w:pPr>
        <w:jc w:val="both"/>
        <w:rPr>
          <w:color w:val="000000" w:themeColor="text1"/>
          <w14:textFill>
            <w14:solidFill>
              <w14:schemeClr w14:val="tx1"/>
            </w14:solidFill>
          </w14:textFill>
        </w:rPr>
      </w:pPr>
    </w:p>
    <w:p w14:paraId="23784EF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8AA3CCA">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 xml:space="preserve"> 4 – SERVER VIRTUALIZATION</w:t>
      </w:r>
    </w:p>
    <w:p w14:paraId="1584C12B">
      <w:pPr>
        <w:jc w:val="center"/>
        <w:rPr>
          <w:color w:val="000000" w:themeColor="text1"/>
          <w14:textFill>
            <w14:solidFill>
              <w14:schemeClr w14:val="tx1"/>
            </w14:solidFill>
          </w14:textFill>
        </w:rPr>
      </w:pPr>
    </w:p>
    <w:p w14:paraId="784AFFC4">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4</w:t>
      </w:r>
      <w:r>
        <w:rPr>
          <w:rFonts w:ascii="Times New Roman" w:hAnsi="Times New Roman"/>
          <w:b/>
          <w:color w:val="000000" w:themeColor="text1"/>
          <w:sz w:val="24"/>
          <w:szCs w:val="24"/>
          <w14:textFill>
            <w14:solidFill>
              <w14:schemeClr w14:val="tx1"/>
            </w14:solidFill>
          </w14:textFill>
        </w:rPr>
        <w:t>. Introduction and core concepts</w:t>
      </w:r>
    </w:p>
    <w:p w14:paraId="35C9EBA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Meaning and working of virtualization.</w:t>
      </w:r>
      <w:r>
        <w:rPr>
          <w:rFonts w:ascii="Times New Roman" w:hAnsi="Times New Roman"/>
          <w:color w:val="000000" w:themeColor="text1"/>
          <w:sz w:val="24"/>
          <w:szCs w:val="24"/>
          <w14:textFill>
            <w14:solidFill>
              <w14:schemeClr w14:val="tx1"/>
            </w14:solidFill>
          </w14:textFill>
        </w:rPr>
        <w:t xml:space="preserve"> Server virtualization uses a software layer called a hypervisor to divide one physical server into multiple virtual machines (VMs). Each VM receives virtual CPU, memory, storage and network interfaces and can run its own operating system. The hypervisor schedules access to the physical hardware and isolates the VMs. This allows the university to consolidate lightly used servers while keeping workloads logically separate.</w:t>
      </w:r>
    </w:p>
    <w:p w14:paraId="570B67B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Hypervisor types.</w:t>
      </w:r>
      <w:r>
        <w:rPr>
          <w:rFonts w:ascii="Times New Roman" w:hAnsi="Times New Roman"/>
          <w:color w:val="000000" w:themeColor="text1"/>
          <w:sz w:val="24"/>
          <w:szCs w:val="24"/>
          <w14:textFill>
            <w14:solidFill>
              <w14:schemeClr w14:val="tx1"/>
            </w14:solidFill>
          </w14:textFill>
        </w:rPr>
        <w:t xml:space="preserve"> A Type-1 (bare-metal) hypervisor runs directly on physical hardware. Examples include VMware ESXi, Microsoft Hyper-V and Xen. It is generally suitable for production data centres. A Type-2 hypervisor runs as an application on a host operating system, such as Oracle VirtualBox or VMware Workstation, and is useful for labs, testing and demonstrations.</w:t>
      </w:r>
    </w:p>
    <w:p w14:paraId="2907809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Worked consolidation calculation.</w:t>
      </w:r>
      <w:r>
        <w:rPr>
          <w:rFonts w:ascii="Times New Roman" w:hAnsi="Times New Roman"/>
          <w:color w:val="000000" w:themeColor="text1"/>
          <w:sz w:val="24"/>
          <w:szCs w:val="24"/>
          <w14:textFill>
            <w14:solidFill>
              <w14:schemeClr w14:val="tx1"/>
            </w14:solidFill>
          </w14:textFill>
        </w:rPr>
        <w:t xml:space="preserve"> Given: 12 physical servers; average CPU utilisation per server = 15%; target host utilisation = 70%. Assume all 12 servers have equal CPU capacity and average demand is representative. Total equivalent CPU demand = 12 × 15% = 180% of one server's capacity. Required hosts = 180% ÷ 70% = 2.57. Round up to 3 hosts. This is a theoretical average-load estimate; memory, storage, network, failover reserve and peak demand may require additional capacity. A practical design should test peak workloads and N+1 resilience.</w:t>
      </w:r>
    </w:p>
    <w:p w14:paraId="6AB4A178">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3-host result is based only on average CPU demand. It does not prove that three hosts will safely handle every peak. The university must also compare RAM, storage capacity, disk I/O, network throughput and application licensing before purchasing equipment.</w:t>
      </w:r>
    </w:p>
    <w:p w14:paraId="3B92344A">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For high availability, the design should consider what happens if one host fails. If all three hosts are heavily loaded, losing one may overload the remaining two. A practical design therefore keeps spare capacity and validates failover under realistic peak-load tests.</w:t>
      </w:r>
    </w:p>
    <w:p w14:paraId="45A711A5">
      <w:pPr>
        <w:jc w:val="cente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drawing>
          <wp:inline distT="0" distB="0" distL="114300" distR="114300">
            <wp:extent cx="4374515" cy="3248025"/>
            <wp:effectExtent l="0" t="0" r="6985" b="3175"/>
            <wp:docPr id="17" name="Picture 17" descr="Task_04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sk_04_Cloud_Computing"/>
                    <pic:cNvPicPr>
                      <a:picLocks noChangeAspect="1"/>
                    </pic:cNvPicPr>
                  </pic:nvPicPr>
                  <pic:blipFill>
                    <a:blip r:embed="rId13"/>
                    <a:stretch>
                      <a:fillRect/>
                    </a:stretch>
                  </pic:blipFill>
                  <pic:spPr>
                    <a:xfrm>
                      <a:off x="0" y="0"/>
                      <a:ext cx="4374515" cy="3248025"/>
                    </a:xfrm>
                    <a:prstGeom prst="rect">
                      <a:avLst/>
                    </a:prstGeom>
                    <a:effectLst>
                      <a:softEdge rad="31750"/>
                    </a:effectLst>
                  </pic:spPr>
                </pic:pic>
              </a:graphicData>
            </a:graphic>
          </wp:inline>
        </w:drawing>
      </w:r>
      <w:r>
        <w:rPr>
          <w:color w:val="000000" w:themeColor="text1"/>
          <w14:textFill>
            <w14:solidFill>
              <w14:schemeClr w14:val="tx1"/>
            </w14:solidFill>
          </w14:textFill>
        </w:rPr>
        <w:br w:type="page"/>
      </w:r>
    </w:p>
    <w:p w14:paraId="68B5316B">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4.1. </w:t>
      </w:r>
      <w:r>
        <w:rPr>
          <w:rFonts w:ascii="Times New Roman" w:hAnsi="Times New Roman"/>
          <w:b/>
          <w:color w:val="000000" w:themeColor="text1"/>
          <w:sz w:val="24"/>
          <w14:textFill>
            <w14:solidFill>
              <w14:schemeClr w14:val="tx1"/>
            </w14:solidFill>
          </w14:textFill>
        </w:rPr>
        <w:t>Virtualized server architecture</w:t>
      </w:r>
    </w:p>
    <w:p w14:paraId="2ABE646F">
      <w:pPr>
        <w:spacing w:before="80" w:after="80"/>
        <w:rPr>
          <w:rFonts w:ascii="Times New Roman" w:hAnsi="Times New Roman"/>
          <w:b/>
          <w:color w:val="000000" w:themeColor="text1"/>
          <w:sz w:val="24"/>
          <w14:textFill>
            <w14:solidFill>
              <w14:schemeClr w14:val="tx1"/>
            </w14:solidFill>
          </w14:textFill>
        </w:rPr>
      </w:pPr>
    </w:p>
    <w:p w14:paraId="71165022">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5661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852160" cy="3566160"/>
                    </a:xfrm>
                    <a:prstGeom prst="rect">
                      <a:avLst/>
                    </a:prstGeom>
                  </pic:spPr>
                </pic:pic>
              </a:graphicData>
            </a:graphic>
          </wp:inline>
        </w:drawing>
      </w:r>
    </w:p>
    <w:p w14:paraId="6242238E">
      <w:pPr>
        <w:spacing w:before="80" w:after="80"/>
        <w:jc w:val="both"/>
        <w:rPr>
          <w:rFonts w:hint="default" w:ascii="Times New Roman" w:hAnsi="Times New Roman"/>
          <w:b/>
          <w:color w:val="000000" w:themeColor="text1"/>
          <w:sz w:val="24"/>
          <w:szCs w:val="24"/>
          <w:lang w:val="en-IN"/>
          <w14:textFill>
            <w14:solidFill>
              <w14:schemeClr w14:val="tx1"/>
            </w14:solidFill>
          </w14:textFill>
        </w:rPr>
      </w:pPr>
    </w:p>
    <w:p w14:paraId="559A9374">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4.</w:t>
      </w:r>
      <w:r>
        <w:rPr>
          <w:rFonts w:ascii="Times New Roman" w:hAnsi="Times New Roman"/>
          <w:b/>
          <w:color w:val="000000" w:themeColor="text1"/>
          <w:sz w:val="24"/>
          <w:szCs w:val="24"/>
          <w14:textFill>
            <w14:solidFill>
              <w14:schemeClr w14:val="tx1"/>
            </w14:solidFill>
          </w14:textFill>
        </w:rPr>
        <w:t>2. Explanation of the diagram</w:t>
      </w:r>
    </w:p>
    <w:p w14:paraId="2145772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VMs and containers in the university.</w:t>
      </w:r>
      <w:r>
        <w:rPr>
          <w:rFonts w:ascii="Times New Roman" w:hAnsi="Times New Roman"/>
          <w:color w:val="000000" w:themeColor="text1"/>
          <w:sz w:val="24"/>
          <w:szCs w:val="24"/>
          <w14:textFill>
            <w14:solidFill>
              <w14:schemeClr w14:val="tx1"/>
            </w14:solidFill>
          </w14:textFill>
        </w:rPr>
        <w:t xml:space="preserve"> Use VMs for legacy applications that require a separate operating system, database servers needing controlled configuration, and workloads that cannot yet be refactored. Use containers for stateless web services, API services and background workers because they package application dependencies and start quickly. Persistent databases need durable storage and careful backup regardless of packaging.</w:t>
      </w:r>
    </w:p>
    <w:p w14:paraId="63326FE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Virtualization approaches.</w:t>
      </w:r>
      <w:r>
        <w:rPr>
          <w:rFonts w:ascii="Times New Roman" w:hAnsi="Times New Roman"/>
          <w:color w:val="000000" w:themeColor="text1"/>
          <w:sz w:val="24"/>
          <w:szCs w:val="24"/>
          <w14:textFill>
            <w14:solidFill>
              <w14:schemeClr w14:val="tx1"/>
            </w14:solidFill>
          </w14:textFill>
        </w:rPr>
        <w:t xml:space="preserve"> Full virtualization presents virtual hardware to an unmodified guest OS. Para-virtualization uses guest awareness or specialised interfaces to improve interaction with the hypervisor. OS-level virtualization uses containers that share the host kernel. Hardware-assisted virtualization uses processor features such as Intel VT-x or AMD-V to improve VM execution and isolation.</w:t>
      </w:r>
    </w:p>
    <w:p w14:paraId="2315B16A">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1230A56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7B51A17">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4.3. </w:t>
      </w:r>
      <w:r>
        <w:rPr>
          <w:rFonts w:ascii="Times New Roman" w:hAnsi="Times New Roman"/>
          <w:b/>
          <w:color w:val="000000" w:themeColor="text1"/>
          <w:sz w:val="24"/>
          <w14:textFill>
            <w14:solidFill>
              <w14:schemeClr w14:val="tx1"/>
            </w14:solidFill>
          </w14:textFill>
        </w:rPr>
        <w:t>Virtualization comparison, benefits and risks</w:t>
      </w:r>
    </w:p>
    <w:p w14:paraId="2181D18F">
      <w:pPr>
        <w:spacing w:before="80" w:after="80"/>
        <w:rPr>
          <w:rFonts w:ascii="Times New Roman" w:hAnsi="Times New Roman"/>
          <w:b/>
          <w:color w:val="000000" w:themeColor="text1"/>
          <w:sz w:val="24"/>
          <w14:textFill>
            <w14:solidFill>
              <w14:schemeClr w14:val="tx1"/>
            </w14:solidFill>
          </w14:textFill>
        </w:rPr>
      </w:pPr>
    </w:p>
    <w:tbl>
      <w:tblPr>
        <w:tblStyle w:val="18"/>
        <w:tblW w:w="95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7"/>
        <w:gridCol w:w="2414"/>
        <w:gridCol w:w="2431"/>
        <w:gridCol w:w="2316"/>
      </w:tblGrid>
      <w:tr w14:paraId="1F13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417"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560178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Technology</w:t>
            </w:r>
          </w:p>
        </w:tc>
        <w:tc>
          <w:tcPr>
            <w:tcW w:w="241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9C5C41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Isolation / OS</w:t>
            </w:r>
          </w:p>
        </w:tc>
        <w:tc>
          <w:tcPr>
            <w:tcW w:w="2431"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3AA57A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Typical use</w:t>
            </w:r>
          </w:p>
        </w:tc>
        <w:tc>
          <w:tcPr>
            <w:tcW w:w="2316"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D8098F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Example</w:t>
            </w:r>
          </w:p>
        </w:tc>
      </w:tr>
      <w:tr w14:paraId="06C9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241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57761C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Full virtualization</w:t>
            </w:r>
          </w:p>
        </w:tc>
        <w:tc>
          <w:tcPr>
            <w:tcW w:w="24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DC87F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Separate guest OS; virtual hardware</w:t>
            </w:r>
          </w:p>
        </w:tc>
        <w:tc>
          <w:tcPr>
            <w:tcW w:w="24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D6361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Legacy SIS and database VM</w:t>
            </w:r>
          </w:p>
        </w:tc>
        <w:tc>
          <w:tcPr>
            <w:tcW w:w="231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CDDD35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VMware ESXi VM</w:t>
            </w:r>
          </w:p>
        </w:tc>
      </w:tr>
      <w:tr w14:paraId="5370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241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59893B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Para-virtualization</w:t>
            </w:r>
          </w:p>
        </w:tc>
        <w:tc>
          <w:tcPr>
            <w:tcW w:w="24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E3D34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Guest-aware interfaces or drivers</w:t>
            </w:r>
          </w:p>
        </w:tc>
        <w:tc>
          <w:tcPr>
            <w:tcW w:w="24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93941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Optimised virtual I/O</w:t>
            </w:r>
          </w:p>
        </w:tc>
        <w:tc>
          <w:tcPr>
            <w:tcW w:w="231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B90325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Xen PV mode</w:t>
            </w:r>
          </w:p>
        </w:tc>
      </w:tr>
      <w:tr w14:paraId="7C45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241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702382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OS-level virtualization</w:t>
            </w:r>
          </w:p>
        </w:tc>
        <w:tc>
          <w:tcPr>
            <w:tcW w:w="24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A988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Shares host kernel</w:t>
            </w:r>
          </w:p>
        </w:tc>
        <w:tc>
          <w:tcPr>
            <w:tcW w:w="24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C42CE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 and web microservices</w:t>
            </w:r>
          </w:p>
        </w:tc>
        <w:tc>
          <w:tcPr>
            <w:tcW w:w="231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A021E2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Docker container</w:t>
            </w:r>
          </w:p>
        </w:tc>
      </w:tr>
      <w:tr w14:paraId="372D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2417"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0478D8E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Hardware-assisted virtualization</w:t>
            </w:r>
          </w:p>
        </w:tc>
        <w:tc>
          <w:tcPr>
            <w:tcW w:w="241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747BB3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Uses CPU virtualisation extensions</w:t>
            </w:r>
          </w:p>
        </w:tc>
        <w:tc>
          <w:tcPr>
            <w:tcW w:w="2431"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1B25DBD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Production VMs</w:t>
            </w:r>
          </w:p>
        </w:tc>
        <w:tc>
          <w:tcPr>
            <w:tcW w:w="2316"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71D34E7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KVM / ESXi with VT-x or AMD-V</w:t>
            </w:r>
          </w:p>
        </w:tc>
      </w:tr>
    </w:tbl>
    <w:p w14:paraId="5CACC978">
      <w:pPr>
        <w:spacing w:before="80" w:after="80"/>
        <w:rPr>
          <w:rFonts w:hint="default" w:ascii="Times New Roman" w:hAnsi="Times New Roman"/>
          <w:b/>
          <w:color w:val="000000" w:themeColor="text1"/>
          <w:sz w:val="24"/>
          <w:szCs w:val="24"/>
          <w:lang w:val="en-IN"/>
          <w14:textFill>
            <w14:solidFill>
              <w14:schemeClr w14:val="tx1"/>
            </w14:solidFill>
          </w14:textFill>
        </w:rPr>
      </w:pPr>
    </w:p>
    <w:p w14:paraId="1F576DB3">
      <w:pPr>
        <w:spacing w:before="80" w:after="80"/>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4.4</w:t>
      </w:r>
      <w:r>
        <w:rPr>
          <w:rFonts w:ascii="Times New Roman" w:hAnsi="Times New Roman"/>
          <w:b/>
          <w:color w:val="000000" w:themeColor="text1"/>
          <w:sz w:val="24"/>
          <w:szCs w:val="24"/>
          <w14:textFill>
            <w14:solidFill>
              <w14:schemeClr w14:val="tx1"/>
            </w14:solidFill>
          </w14:textFill>
        </w:rPr>
        <w:t>. Analysis and application to the university</w:t>
      </w:r>
    </w:p>
    <w:p w14:paraId="791FA2C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Benefits and risks.</w:t>
      </w:r>
      <w:r>
        <w:rPr>
          <w:rFonts w:ascii="Times New Roman" w:hAnsi="Times New Roman"/>
          <w:color w:val="000000" w:themeColor="text1"/>
          <w:sz w:val="24"/>
          <w:szCs w:val="24"/>
          <w14:textFill>
            <w14:solidFill>
              <w14:schemeClr w14:val="tx1"/>
            </w14:solidFill>
          </w14:textFill>
        </w:rPr>
        <w:t xml:space="preserve"> Live migration moves a running VM between hosts with limited interruption when supported by shared storage and compatible hosts. Snapshots capture a point-in-time VM state for short-term rollback, but they are not a replacement for independent backups. Resource over-commitment can improve average utilisation, but excessive over-commitment causes contention. Risks include noisy-neighbour effects, hypervisor failure, misconfiguration and weak isolation.</w:t>
      </w:r>
    </w:p>
    <w:p w14:paraId="42753CFE">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Implementation plan.</w:t>
      </w:r>
      <w:r>
        <w:rPr>
          <w:rFonts w:ascii="Times New Roman" w:hAnsi="Times New Roman"/>
          <w:color w:val="000000" w:themeColor="text1"/>
          <w:sz w:val="24"/>
          <w:szCs w:val="24"/>
          <w14:textFill>
            <w14:solidFill>
              <w14:schemeClr w14:val="tx1"/>
            </w14:solidFill>
          </w14:textFill>
        </w:rPr>
        <w:t xml:space="preserve"> Consolidate workloads onto at least three appropriately sized hosts only after CPU, RAM, storage and peak-load testing. Keep spare capacity for host failure, separate management networks, patch hypervisors, enforce least privilege and monitor contention. Use containers for newly developed APIs and VMs for legacy workloads. The estimate of three hosts is a starting point, not a final procurement decision.</w:t>
      </w:r>
    </w:p>
    <w:p w14:paraId="60AC1587">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virtualisation can reduce the number of physical servers and improve flexibility, but the final host count must be validated using peak-load, memory, storage and failover tests.</w:t>
      </w:r>
    </w:p>
    <w:p w14:paraId="7BB7B5F8">
      <w:pPr>
        <w:jc w:val="center"/>
        <w:rPr>
          <w:color w:val="000000" w:themeColor="text1"/>
          <w14:textFill>
            <w14:solidFill>
              <w14:schemeClr w14:val="tx1"/>
            </w14:solidFill>
          </w14:textFill>
        </w:rPr>
      </w:pPr>
    </w:p>
    <w:p w14:paraId="60C175F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33FDFC1">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5 – WEB SERVICES AND UNIVERSITY APIs</w:t>
      </w:r>
    </w:p>
    <w:p w14:paraId="15B1F9B9">
      <w:pPr>
        <w:spacing w:before="80" w:after="80"/>
        <w:jc w:val="both"/>
        <w:rPr>
          <w:rFonts w:hint="default" w:ascii="Times New Roman" w:hAnsi="Times New Roman"/>
          <w:b/>
          <w:color w:val="000000" w:themeColor="text1"/>
          <w:sz w:val="24"/>
          <w:szCs w:val="24"/>
          <w:lang w:val="en-IN"/>
          <w14:textFill>
            <w14:solidFill>
              <w14:schemeClr w14:val="tx1"/>
            </w14:solidFill>
          </w14:textFill>
        </w:rPr>
      </w:pPr>
    </w:p>
    <w:p w14:paraId="3267BDA9">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5</w:t>
      </w:r>
      <w:r>
        <w:rPr>
          <w:rFonts w:ascii="Times New Roman" w:hAnsi="Times New Roman"/>
          <w:b/>
          <w:color w:val="000000" w:themeColor="text1"/>
          <w:sz w:val="24"/>
          <w:szCs w:val="24"/>
          <w14:textFill>
            <w14:solidFill>
              <w14:schemeClr w14:val="tx1"/>
            </w14:solidFill>
          </w14:textFill>
        </w:rPr>
        <w:t>. Introduction and core concepts</w:t>
      </w:r>
    </w:p>
    <w:p w14:paraId="720EE9C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Meaning and role of web services.</w:t>
      </w:r>
      <w:r>
        <w:rPr>
          <w:rFonts w:ascii="Times New Roman" w:hAnsi="Times New Roman"/>
          <w:color w:val="000000" w:themeColor="text1"/>
          <w:sz w:val="24"/>
          <w:szCs w:val="24"/>
          <w14:textFill>
            <w14:solidFill>
              <w14:schemeClr w14:val="tx1"/>
            </w14:solidFill>
          </w14:textFill>
        </w:rPr>
        <w:t xml:space="preserve"> A web service is a software function made available to other applications through a network interface. It allows systems built using different programming languages or platforms to exchange data. In SOA, services are reusable building blocks. The university can expose student result lookup, fee payment and library search without allowing external applications to connect directly to internal databases.</w:t>
      </w:r>
    </w:p>
    <w:p w14:paraId="1EF2CAFD">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SOAP, WSDL, UDDI and REST.</w:t>
      </w:r>
      <w:r>
        <w:rPr>
          <w:rFonts w:ascii="Times New Roman" w:hAnsi="Times New Roman"/>
          <w:color w:val="000000" w:themeColor="text1"/>
          <w:sz w:val="24"/>
          <w:szCs w:val="24"/>
          <w14:textFill>
            <w14:solidFill>
              <w14:schemeClr w14:val="tx1"/>
            </w14:solidFill>
          </w14:textFill>
        </w:rPr>
        <w:t xml:space="preserve"> SOAP is a protocol that uses XML messages and formal message structures. WSDL describes a SOAP service's operations, messages and endpoint. UDDI is a directory concept for publishing and discovering services. REST is an architectural style commonly implemented over HTTP; it uses methods such as GET, POST, PUT/PATCH and DELETE and often exchanges JSON. REST is usually simpler for mobile and browser clients, while SOAP can suit systems requiring formal contracts and enterprise messaging features.</w:t>
      </w:r>
    </w:p>
    <w:p w14:paraId="1C9620D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API design principles.</w:t>
      </w:r>
      <w:r>
        <w:rPr>
          <w:rFonts w:ascii="Times New Roman" w:hAnsi="Times New Roman"/>
          <w:color w:val="000000" w:themeColor="text1"/>
          <w:sz w:val="24"/>
          <w:szCs w:val="24"/>
          <w14:textFill>
            <w14:solidFill>
              <w14:schemeClr w14:val="tx1"/>
            </w14:solidFill>
          </w14:textFill>
        </w:rPr>
        <w:t xml:space="preserve"> Use HTTPS, authentication tokens, input validation, consistent status codes, rate limits and audit logging. Version APIs so that changes do not unexpectedly break partner applications. Do not expose database tables directly; expose business operations with only the data each authorised caller needs.</w:t>
      </w:r>
    </w:p>
    <w:p w14:paraId="15D5BCFC">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 service contract defines what a caller may send, what the service returns and which errors may occur. Stable contracts allow external colleges to integrate without knowing how the university's internal database is organised.</w:t>
      </w:r>
    </w:p>
    <w:p w14:paraId="55736241">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For sensitive operations such as payments, the API must distinguish between a payment request being accepted and the payment being confirmed. The university should verify payment status with the payment provider and reconcile transactions.</w:t>
      </w:r>
    </w:p>
    <w:p w14:paraId="399D99F7">
      <w:pPr>
        <w:spacing w:after="80" w:line="252" w:lineRule="auto"/>
        <w:jc w:val="both"/>
        <w:rPr>
          <w:rFonts w:ascii="Times New Roman" w:hAnsi="Times New Roman"/>
          <w:color w:val="000000" w:themeColor="text1"/>
          <w:sz w:val="24"/>
          <w:szCs w:val="24"/>
          <w14:textFill>
            <w14:solidFill>
              <w14:schemeClr w14:val="tx1"/>
            </w14:solidFill>
          </w14:textFill>
        </w:rPr>
      </w:pPr>
    </w:p>
    <w:p w14:paraId="1ACA91C7">
      <w:pPr>
        <w:jc w:val="cente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drawing>
          <wp:inline distT="0" distB="0" distL="114300" distR="114300">
            <wp:extent cx="4797425" cy="3815080"/>
            <wp:effectExtent l="0" t="0" r="3175" b="7620"/>
            <wp:docPr id="18" name="Picture 18" descr="Task_05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sk_05_Cloud_Computing"/>
                    <pic:cNvPicPr>
                      <a:picLocks noChangeAspect="1"/>
                    </pic:cNvPicPr>
                  </pic:nvPicPr>
                  <pic:blipFill>
                    <a:blip r:embed="rId15"/>
                    <a:srcRect t="8034"/>
                    <a:stretch>
                      <a:fillRect/>
                    </a:stretch>
                  </pic:blipFill>
                  <pic:spPr>
                    <a:xfrm>
                      <a:off x="0" y="0"/>
                      <a:ext cx="4797425" cy="3815080"/>
                    </a:xfrm>
                    <a:prstGeom prst="rect">
                      <a:avLst/>
                    </a:prstGeom>
                    <a:effectLst>
                      <a:softEdge rad="31750"/>
                    </a:effectLst>
                  </pic:spPr>
                </pic:pic>
              </a:graphicData>
            </a:graphic>
          </wp:inline>
        </w:drawing>
      </w:r>
      <w:r>
        <w:rPr>
          <w:color w:val="000000" w:themeColor="text1"/>
          <w14:textFill>
            <w14:solidFill>
              <w14:schemeClr w14:val="tx1"/>
            </w14:solidFill>
          </w14:textFill>
        </w:rPr>
        <w:br w:type="page"/>
      </w:r>
    </w:p>
    <w:p w14:paraId="5FBB25A4">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5.1. </w:t>
      </w:r>
      <w:r>
        <w:rPr>
          <w:rFonts w:ascii="Times New Roman" w:hAnsi="Times New Roman"/>
          <w:b/>
          <w:color w:val="000000" w:themeColor="text1"/>
          <w:sz w:val="24"/>
          <w14:textFill>
            <w14:solidFill>
              <w14:schemeClr w14:val="tx1"/>
            </w14:solidFill>
          </w14:textFill>
        </w:rPr>
        <w:t>Three university web-service examples</w:t>
      </w:r>
    </w:p>
    <w:p w14:paraId="5E3117D4">
      <w:pPr>
        <w:spacing w:before="80" w:after="80"/>
        <w:rPr>
          <w:rFonts w:ascii="Times New Roman" w:hAnsi="Times New Roman"/>
          <w:b/>
          <w:color w:val="000000" w:themeColor="text1"/>
          <w:sz w:val="24"/>
          <w14:textFill>
            <w14:solidFill>
              <w14:schemeClr w14:val="tx1"/>
            </w14:solidFill>
          </w14:textFill>
        </w:rPr>
      </w:pPr>
    </w:p>
    <w:p w14:paraId="2C2FE907">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5661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852160" cy="3566160"/>
                    </a:xfrm>
                    <a:prstGeom prst="rect">
                      <a:avLst/>
                    </a:prstGeom>
                  </pic:spPr>
                </pic:pic>
              </a:graphicData>
            </a:graphic>
          </wp:inline>
        </w:drawing>
      </w:r>
    </w:p>
    <w:p w14:paraId="3AABA858">
      <w:pPr>
        <w:spacing w:before="80" w:after="80"/>
        <w:rPr>
          <w:rFonts w:hint="default" w:ascii="Times New Roman" w:hAnsi="Times New Roman"/>
          <w:b/>
          <w:color w:val="000000" w:themeColor="text1"/>
          <w:sz w:val="24"/>
          <w:szCs w:val="24"/>
          <w:lang w:val="en-IN"/>
          <w14:textFill>
            <w14:solidFill>
              <w14:schemeClr w14:val="tx1"/>
            </w14:solidFill>
          </w14:textFill>
        </w:rPr>
      </w:pPr>
    </w:p>
    <w:p w14:paraId="564BCFA4">
      <w:pPr>
        <w:spacing w:before="80" w:after="80"/>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5.</w:t>
      </w:r>
      <w:r>
        <w:rPr>
          <w:rFonts w:ascii="Times New Roman" w:hAnsi="Times New Roman"/>
          <w:b/>
          <w:color w:val="000000" w:themeColor="text1"/>
          <w:sz w:val="24"/>
          <w:szCs w:val="24"/>
          <w14:textFill>
            <w14:solidFill>
              <w14:schemeClr w14:val="tx1"/>
            </w14:solidFill>
          </w14:textFill>
        </w:rPr>
        <w:t>2. Explanation of the diagram</w:t>
      </w:r>
    </w:p>
    <w:p w14:paraId="11E848F9">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API 1 – Result lookup.</w:t>
      </w:r>
      <w:r>
        <w:rPr>
          <w:rFonts w:ascii="Times New Roman" w:hAnsi="Times New Roman"/>
          <w:color w:val="000000" w:themeColor="text1"/>
          <w:sz w:val="24"/>
          <w:szCs w:val="24"/>
          <w14:textFill>
            <w14:solidFill>
              <w14:schemeClr w14:val="tx1"/>
            </w14:solidFill>
          </w14:textFill>
        </w:rPr>
        <w:t xml:space="preserve"> Endpoint: GET /api/v1/students/{studentId}/results. Method: GET. Example request: GET /api/v1/students/10025/results with an authorised bearer token. Example JSON response: {"studentId":"10025","semester":4,"status":"Published","cgpa":8.2}. Use REST because the operation retrieves data and is suitable for mobile clients. The API must verify that the caller is the student or an authorised staff member.</w:t>
      </w:r>
    </w:p>
    <w:p w14:paraId="636C123D">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API 2 – Fee payment.</w:t>
      </w:r>
      <w:r>
        <w:rPr>
          <w:rFonts w:ascii="Times New Roman" w:hAnsi="Times New Roman"/>
          <w:color w:val="000000" w:themeColor="text1"/>
          <w:sz w:val="24"/>
          <w:szCs w:val="24"/>
          <w14:textFill>
            <w14:solidFill>
              <w14:schemeClr w14:val="tx1"/>
            </w14:solidFill>
          </w14:textFill>
        </w:rPr>
        <w:t xml:space="preserve"> Endpoint: POST /api/v1/fees/payments. Method: POST. Example request: {"studentId":"10025","amount":12500,"paymentMode":"UPI"}. Example response: {"paymentId":"PAY7841","status":"Pending","currency":"INR"}. Use REST with a payment provider integration, idempotency key and server-side verification. Never trust a client-provided success message.</w:t>
      </w:r>
    </w:p>
    <w:p w14:paraId="7387336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API 3 – Library search.</w:t>
      </w:r>
      <w:r>
        <w:rPr>
          <w:rFonts w:ascii="Times New Roman" w:hAnsi="Times New Roman"/>
          <w:color w:val="000000" w:themeColor="text1"/>
          <w:sz w:val="24"/>
          <w:szCs w:val="24"/>
          <w14:textFill>
            <w14:solidFill>
              <w14:schemeClr w14:val="tx1"/>
            </w14:solidFill>
          </w14:textFill>
        </w:rPr>
        <w:t xml:space="preserve"> Endpoint: GET /api/v1/library/books?query=database. Method: GET. Example response: {"items":[{"title":"Database Systems","availability":"Available"}]}. REST is suitable because it is a simple search operation with a compact JSON response.</w:t>
      </w:r>
    </w:p>
    <w:p w14:paraId="37796D50">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7E164A4D">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145EECC1">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5.3. </w:t>
      </w:r>
      <w:r>
        <w:rPr>
          <w:rFonts w:ascii="Times New Roman" w:hAnsi="Times New Roman"/>
          <w:b/>
          <w:color w:val="000000" w:themeColor="text1"/>
          <w:sz w:val="24"/>
          <w14:textFill>
            <w14:solidFill>
              <w14:schemeClr w14:val="tx1"/>
            </w14:solidFill>
          </w14:textFill>
        </w:rPr>
        <w:t>SOAP and REST comparison</w:t>
      </w:r>
    </w:p>
    <w:tbl>
      <w:tblPr>
        <w:tblStyle w:val="18"/>
        <w:tblW w:w="9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4"/>
        <w:gridCol w:w="3101"/>
        <w:gridCol w:w="3154"/>
      </w:tblGrid>
      <w:tr w14:paraId="4D67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8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4694560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Feature</w:t>
            </w:r>
          </w:p>
        </w:tc>
        <w:tc>
          <w:tcPr>
            <w:tcW w:w="3101"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F72512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SOAP</w:t>
            </w:r>
          </w:p>
        </w:tc>
        <w:tc>
          <w:tcPr>
            <w:tcW w:w="3154"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470F01A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REST</w:t>
            </w:r>
          </w:p>
        </w:tc>
      </w:tr>
      <w:tr w14:paraId="08CD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08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0C732F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Nature</w:t>
            </w:r>
          </w:p>
        </w:tc>
        <w:tc>
          <w:tcPr>
            <w:tcW w:w="31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5FF41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Protocol with defined message rules</w:t>
            </w:r>
          </w:p>
        </w:tc>
        <w:tc>
          <w:tcPr>
            <w:tcW w:w="315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FE8BE1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Architectural style</w:t>
            </w:r>
          </w:p>
        </w:tc>
      </w:tr>
      <w:tr w14:paraId="5AC7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08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675D54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Common format</w:t>
            </w:r>
          </w:p>
        </w:tc>
        <w:tc>
          <w:tcPr>
            <w:tcW w:w="31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4E662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XML envelope</w:t>
            </w:r>
          </w:p>
        </w:tc>
        <w:tc>
          <w:tcPr>
            <w:tcW w:w="315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F7ED97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Often JSON; can also use XML</w:t>
            </w:r>
          </w:p>
        </w:tc>
      </w:tr>
      <w:tr w14:paraId="2DF7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08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C865D8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Transport</w:t>
            </w:r>
          </w:p>
        </w:tc>
        <w:tc>
          <w:tcPr>
            <w:tcW w:w="31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2CDA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Commonly HTTP; other transports possible</w:t>
            </w:r>
          </w:p>
        </w:tc>
        <w:tc>
          <w:tcPr>
            <w:tcW w:w="315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EA1EBA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Typically HTTP/HTTPS</w:t>
            </w:r>
          </w:p>
        </w:tc>
      </w:tr>
      <w:tr w14:paraId="5D46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08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742DEA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Operations</w:t>
            </w:r>
          </w:p>
        </w:tc>
        <w:tc>
          <w:tcPr>
            <w:tcW w:w="31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A9BB4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Defined through service contract</w:t>
            </w:r>
          </w:p>
        </w:tc>
        <w:tc>
          <w:tcPr>
            <w:tcW w:w="315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AE7784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Uses HTTP methods and resource URLs</w:t>
            </w:r>
          </w:p>
        </w:tc>
      </w:tr>
      <w:tr w14:paraId="3D76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08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6FF03D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Best fit</w:t>
            </w:r>
          </w:p>
        </w:tc>
        <w:tc>
          <w:tcPr>
            <w:tcW w:w="31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4522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Formal enterprise integrations</w:t>
            </w:r>
          </w:p>
        </w:tc>
        <w:tc>
          <w:tcPr>
            <w:tcW w:w="315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3FB4A6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Mobile apps, portals and lightweight APIs</w:t>
            </w:r>
          </w:p>
        </w:tc>
      </w:tr>
      <w:tr w14:paraId="7A31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3084"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343C192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University example</w:t>
            </w:r>
          </w:p>
        </w:tc>
        <w:tc>
          <w:tcPr>
            <w:tcW w:w="3101"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92BB0B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Legacy finance integration if contract requires it</w:t>
            </w:r>
          </w:p>
        </w:tc>
        <w:tc>
          <w:tcPr>
            <w:tcW w:w="3154"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25436E0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Result lookup and library search</w:t>
            </w:r>
          </w:p>
        </w:tc>
      </w:tr>
    </w:tbl>
    <w:p w14:paraId="1A543C96">
      <w:pPr>
        <w:spacing w:before="80" w:after="80"/>
        <w:jc w:val="both"/>
        <w:rPr>
          <w:rFonts w:hint="default" w:ascii="Times New Roman" w:hAnsi="Times New Roman"/>
          <w:b/>
          <w:color w:val="000000" w:themeColor="text1"/>
          <w:sz w:val="28"/>
          <w:szCs w:val="28"/>
          <w:lang w:val="en-IN"/>
          <w14:textFill>
            <w14:solidFill>
              <w14:schemeClr w14:val="tx1"/>
            </w14:solidFill>
          </w14:textFill>
        </w:rPr>
      </w:pPr>
    </w:p>
    <w:p w14:paraId="41810290">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5.4</w:t>
      </w:r>
      <w:r>
        <w:rPr>
          <w:rFonts w:ascii="Times New Roman" w:hAnsi="Times New Roman"/>
          <w:b/>
          <w:color w:val="000000" w:themeColor="text1"/>
          <w:sz w:val="24"/>
          <w:szCs w:val="24"/>
          <w14:textFill>
            <w14:solidFill>
              <w14:schemeClr w14:val="tx1"/>
            </w14:solidFill>
          </w14:textFill>
        </w:rPr>
        <w:t>. Analysis and application to the university</w:t>
      </w:r>
    </w:p>
    <w:p w14:paraId="6DCAF1F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Request and response handling.</w:t>
      </w:r>
      <w:r>
        <w:rPr>
          <w:rFonts w:ascii="Times New Roman" w:hAnsi="Times New Roman"/>
          <w:color w:val="000000" w:themeColor="text1"/>
          <w:sz w:val="24"/>
          <w:szCs w:val="24"/>
          <w14:textFill>
            <w14:solidFill>
              <w14:schemeClr w14:val="tx1"/>
            </w14:solidFill>
          </w14:textFill>
        </w:rPr>
        <w:t xml:space="preserve"> The API gateway receives the request, checks the token and applies rate limits. The relevant service validates the request, performs the business operation and accesses the required database or payment provider. It returns a response with an HTTP status code and a JSON or XML body. A 200 response indicates a successful request; 400 indicates invalid input; 401/403 indicates authentication or permission failure; 404 indicates a missing resource.</w:t>
      </w:r>
    </w:p>
    <w:p w14:paraId="6349761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Security and recommendation.</w:t>
      </w:r>
      <w:r>
        <w:rPr>
          <w:rFonts w:ascii="Times New Roman" w:hAnsi="Times New Roman"/>
          <w:color w:val="000000" w:themeColor="text1"/>
          <w:sz w:val="24"/>
          <w:szCs w:val="24"/>
          <w14:textFill>
            <w14:solidFill>
              <w14:schemeClr w14:val="tx1"/>
            </w14:solidFill>
          </w14:textFill>
        </w:rPr>
        <w:t xml:space="preserve"> Use REST for result lookup, fee initiation and library search because the university needs mobile and partner-college integration. Fee payment must additionally use transaction records, idempotency, payment-provider callbacks and reconciliation. If an existing finance partner mandates SOAP and WSDL, retain a SOAP adapter at the integration boundary rather than forcing every new client to use SOAP.</w:t>
      </w:r>
    </w:p>
    <w:p w14:paraId="702F6A21">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REST is the preferred approach for new mobile and college-facing services, while SOAP can be retained where a legacy partner requires a formal SOAP contract.</w:t>
      </w:r>
    </w:p>
    <w:p w14:paraId="68D1A82B">
      <w:pPr>
        <w:jc w:val="right"/>
        <w:rPr>
          <w:color w:val="000000" w:themeColor="text1"/>
          <w14:textFill>
            <w14:solidFill>
              <w14:schemeClr w14:val="tx1"/>
            </w14:solidFill>
          </w14:textFill>
        </w:rPr>
      </w:pPr>
    </w:p>
    <w:p w14:paraId="73EE0B6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B422301">
      <w:pPr>
        <w:jc w:val="center"/>
        <w:rPr>
          <w:rFonts w:ascii="Times New Roman" w:hAnsi="Times New Roman"/>
          <w:b/>
          <w:color w:val="000000" w:themeColor="text1"/>
          <w:sz w:val="28"/>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 xml:space="preserve"> 6 – CLOUD SERVICE MODELS: IAAS, PAAS AND SAAS</w:t>
      </w:r>
    </w:p>
    <w:p w14:paraId="01B89A19">
      <w:pPr>
        <w:spacing w:before="80" w:after="80"/>
        <w:jc w:val="both"/>
        <w:rPr>
          <w:rFonts w:hint="default" w:ascii="Times New Roman" w:hAnsi="Times New Roman"/>
          <w:b/>
          <w:color w:val="000000" w:themeColor="text1"/>
          <w:sz w:val="24"/>
          <w:szCs w:val="24"/>
          <w:lang w:val="en-IN"/>
          <w14:textFill>
            <w14:solidFill>
              <w14:schemeClr w14:val="tx1"/>
            </w14:solidFill>
          </w14:textFill>
        </w:rPr>
      </w:pPr>
    </w:p>
    <w:p w14:paraId="53829274">
      <w:pPr>
        <w:spacing w:before="80" w:after="80"/>
        <w:jc w:val="both"/>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6</w:t>
      </w:r>
      <w:r>
        <w:rPr>
          <w:rFonts w:ascii="Times New Roman" w:hAnsi="Times New Roman"/>
          <w:b/>
          <w:color w:val="000000" w:themeColor="text1"/>
          <w:sz w:val="24"/>
          <w:szCs w:val="24"/>
          <w14:textFill>
            <w14:solidFill>
              <w14:schemeClr w14:val="tx1"/>
            </w14:solidFill>
          </w14:textFill>
        </w:rPr>
        <w:t>. Introduction and core concepts</w:t>
      </w:r>
    </w:p>
    <w:p w14:paraId="2187C8E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IaaS – Infrastructure as a Service.</w:t>
      </w:r>
      <w:r>
        <w:rPr>
          <w:rFonts w:ascii="Times New Roman" w:hAnsi="Times New Roman"/>
          <w:color w:val="000000" w:themeColor="text1"/>
          <w:sz w:val="24"/>
          <w:szCs w:val="24"/>
          <w14:textFill>
            <w14:solidFill>
              <w14:schemeClr w14:val="tx1"/>
            </w14:solidFill>
          </w14:textFill>
        </w:rPr>
        <w:t xml:space="preserve"> IaaS provides virtual machines, storage and networking. The provider manages physical data-centre hardware and virtualisation, while the university manages operating systems, middleware, applications, data and much of the security configuration. It offers high control and supports legacy software, but requires system administration and patching.</w:t>
      </w:r>
    </w:p>
    <w:p w14:paraId="19AA7829">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PaaS – Platform as a Service.</w:t>
      </w:r>
      <w:r>
        <w:rPr>
          <w:rFonts w:ascii="Times New Roman" w:hAnsi="Times New Roman"/>
          <w:color w:val="000000" w:themeColor="text1"/>
          <w:sz w:val="24"/>
          <w:szCs w:val="24"/>
          <w14:textFill>
            <w14:solidFill>
              <w14:schemeClr w14:val="tx1"/>
            </w14:solidFill>
          </w14:textFill>
        </w:rPr>
        <w:t xml:space="preserve"> PaaS provides a managed application runtime, deployment environment and supporting platform. The provider manages infrastructure, operating system and runtime components. The university focuses on application code, configuration and data. It reduces maintenance and speeds development, but platform restrictions and provider-specific services can create lock-in.</w:t>
      </w:r>
    </w:p>
    <w:p w14:paraId="30E13325">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SaaS – Software as a Service.</w:t>
      </w:r>
      <w:r>
        <w:rPr>
          <w:rFonts w:ascii="Times New Roman" w:hAnsi="Times New Roman"/>
          <w:color w:val="000000" w:themeColor="text1"/>
          <w:sz w:val="24"/>
          <w:szCs w:val="24"/>
          <w14:textFill>
            <w14:solidFill>
              <w14:schemeClr w14:val="tx1"/>
            </w14:solidFill>
          </w14:textFill>
        </w:rPr>
        <w:t xml:space="preserve"> SaaS delivers a complete application over the internet. The provider manages the application and underlying platform; the university manages users, configuration, access policies and its data responsibilities. SaaS is suitable for standard functions such as email, but offers less control over custom features.</w:t>
      </w:r>
    </w:p>
    <w:p w14:paraId="0E99C22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Five-application mapping.</w:t>
      </w:r>
      <w:r>
        <w:rPr>
          <w:rFonts w:ascii="Times New Roman" w:hAnsi="Times New Roman"/>
          <w:color w:val="000000" w:themeColor="text1"/>
          <w:sz w:val="24"/>
          <w:szCs w:val="24"/>
          <w14:textFill>
            <w14:solidFill>
              <w14:schemeClr w14:val="tx1"/>
            </w14:solidFill>
          </w14:textFill>
        </w:rPr>
        <w:t xml:space="preserve"> A practical mix is: SIS on IaaS initially to preserve legacy compatibility; LMS on SaaS if its academic and integration features meet requirements; Library system on PaaS when custom integration is needed; Exam portal on PaaS or container-based IaaS depending on examination controls; and Email on SaaS. The final choice depends on data protection, integration, cost and feature fit.</w:t>
      </w:r>
    </w:p>
    <w:p w14:paraId="0E245962">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shared-responsibility model is central to service-model selection. Moving a workload to SaaS reduces infrastructure work, but the university remains responsible for selecting authorised users, configuring retention and protecting its information.</w:t>
      </w:r>
    </w:p>
    <w:p w14:paraId="386D3C56">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 workload should not be placed in SaaS merely because SaaS requires less maintenance. The university must verify that the service supports required academic workflows, data export, identity integration, audit records and contractual obligations.</w:t>
      </w:r>
    </w:p>
    <w:p w14:paraId="634372BD">
      <w:pPr>
        <w:spacing w:after="80" w:line="252" w:lineRule="auto"/>
        <w:jc w:val="center"/>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drawing>
          <wp:inline distT="0" distB="0" distL="114300" distR="114300">
            <wp:extent cx="3850005" cy="3158490"/>
            <wp:effectExtent l="0" t="0" r="10795" b="3810"/>
            <wp:docPr id="19" name="Picture 19" descr="Task_06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sk_06_Cloud_Computing"/>
                    <pic:cNvPicPr>
                      <a:picLocks noChangeAspect="1"/>
                    </pic:cNvPicPr>
                  </pic:nvPicPr>
                  <pic:blipFill>
                    <a:blip r:embed="rId17"/>
                    <a:srcRect t="8376"/>
                    <a:stretch>
                      <a:fillRect/>
                    </a:stretch>
                  </pic:blipFill>
                  <pic:spPr>
                    <a:xfrm>
                      <a:off x="0" y="0"/>
                      <a:ext cx="3850005" cy="3158490"/>
                    </a:xfrm>
                    <a:prstGeom prst="rect">
                      <a:avLst/>
                    </a:prstGeom>
                  </pic:spPr>
                </pic:pic>
              </a:graphicData>
            </a:graphic>
          </wp:inline>
        </w:drawing>
      </w:r>
    </w:p>
    <w:p w14:paraId="304DCCC9">
      <w:pPr>
        <w:jc w:val="both"/>
        <w:rPr>
          <w:rFonts w:hint="default"/>
          <w:color w:val="000000" w:themeColor="text1"/>
          <w:sz w:val="24"/>
          <w:szCs w:val="24"/>
          <w:lang w:val="en-IN"/>
          <w14:textFill>
            <w14:solidFill>
              <w14:schemeClr w14:val="tx1"/>
            </w14:solidFill>
          </w14:textFill>
        </w:rPr>
      </w:pPr>
      <w:r>
        <w:rPr>
          <w:color w:val="000000" w:themeColor="text1"/>
          <w:sz w:val="24"/>
          <w:szCs w:val="24"/>
          <w14:textFill>
            <w14:solidFill>
              <w14:schemeClr w14:val="tx1"/>
            </w14:solidFill>
          </w14:textFill>
        </w:rPr>
        <w:br w:type="page"/>
      </w:r>
    </w:p>
    <w:p w14:paraId="3E4EDDAB">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6.1. </w:t>
      </w:r>
      <w:r>
        <w:rPr>
          <w:rFonts w:ascii="Times New Roman" w:hAnsi="Times New Roman"/>
          <w:b/>
          <w:color w:val="000000" w:themeColor="text1"/>
          <w:sz w:val="24"/>
          <w14:textFill>
            <w14:solidFill>
              <w14:schemeClr w14:val="tx1"/>
            </w14:solidFill>
          </w14:textFill>
        </w:rPr>
        <w:t>Responsibility layers in service models</w:t>
      </w:r>
    </w:p>
    <w:p w14:paraId="5193DFC4">
      <w:pPr>
        <w:spacing w:before="80" w:after="80"/>
        <w:rPr>
          <w:rFonts w:ascii="Times New Roman" w:hAnsi="Times New Roman"/>
          <w:b/>
          <w:color w:val="000000" w:themeColor="text1"/>
          <w:sz w:val="24"/>
          <w14:textFill>
            <w14:solidFill>
              <w14:schemeClr w14:val="tx1"/>
            </w14:solidFill>
          </w14:textFill>
        </w:rPr>
      </w:pPr>
    </w:p>
    <w:p w14:paraId="5311042E">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5661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852160" cy="3566160"/>
                    </a:xfrm>
                    <a:prstGeom prst="rect">
                      <a:avLst/>
                    </a:prstGeom>
                  </pic:spPr>
                </pic:pic>
              </a:graphicData>
            </a:graphic>
          </wp:inline>
        </w:drawing>
      </w:r>
    </w:p>
    <w:p w14:paraId="14A8CE3F">
      <w:pPr>
        <w:spacing w:before="80" w:after="80"/>
        <w:rPr>
          <w:rFonts w:hint="default" w:ascii="Times New Roman" w:hAnsi="Times New Roman"/>
          <w:b/>
          <w:color w:val="000000" w:themeColor="text1"/>
          <w:sz w:val="24"/>
          <w:lang w:val="en-IN"/>
          <w14:textFill>
            <w14:solidFill>
              <w14:schemeClr w14:val="tx1"/>
            </w14:solidFill>
          </w14:textFill>
        </w:rPr>
      </w:pPr>
    </w:p>
    <w:p w14:paraId="667D34F7">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6.</w:t>
      </w:r>
      <w:r>
        <w:rPr>
          <w:rFonts w:ascii="Times New Roman" w:hAnsi="Times New Roman"/>
          <w:b/>
          <w:color w:val="000000" w:themeColor="text1"/>
          <w:sz w:val="24"/>
          <w14:textFill>
            <w14:solidFill>
              <w14:schemeClr w14:val="tx1"/>
            </w14:solidFill>
          </w14:textFill>
        </w:rPr>
        <w:t>2. Explanation of the diagram</w:t>
      </w:r>
    </w:p>
    <w:p w14:paraId="3AFBD6B4">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Responsibility interpretation.</w:t>
      </w:r>
      <w:r>
        <w:rPr>
          <w:rFonts w:ascii="Times New Roman" w:hAnsi="Times New Roman"/>
          <w:color w:val="000000" w:themeColor="text1"/>
          <w:sz w:val="24"/>
          <w:szCs w:val="24"/>
          <w14:textFill>
            <w14:solidFill>
              <w14:schemeClr w14:val="tx1"/>
            </w14:solidFill>
          </w14:textFill>
        </w:rPr>
        <w:t xml:space="preserve"> The service model changes who operates each technical layer; it does not remove the university's responsibility for appropriate data governance, user access, lawful processing and configuration. For example, even when email is SaaS, the university must disable accounts promptly when staff leave and apply multi-factor authentication.</w:t>
      </w:r>
    </w:p>
    <w:p w14:paraId="24A18254">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Provider examples.</w:t>
      </w:r>
      <w:r>
        <w:rPr>
          <w:rFonts w:ascii="Times New Roman" w:hAnsi="Times New Roman"/>
          <w:color w:val="000000" w:themeColor="text1"/>
          <w:sz w:val="24"/>
          <w:szCs w:val="24"/>
          <w14:textFill>
            <w14:solidFill>
              <w14:schemeClr w14:val="tx1"/>
            </w14:solidFill>
          </w14:textFill>
        </w:rPr>
        <w:t xml:space="preserve"> IaaS examples include Amazon EC2, Microsoft Azure Virtual Machines and Google Compute Engine. PaaS examples include Azure App Service, Google App Engine and AWS Elastic Beanstalk. SaaS examples include Microsoft 365 and Google Workspace. These are examples of service categories; provider selection requires a separate cost, security and contract review.</w:t>
      </w:r>
    </w:p>
    <w:p w14:paraId="4B001B90">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0394E4E5">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73F7C94D">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6.3. </w:t>
      </w:r>
      <w:r>
        <w:rPr>
          <w:rFonts w:ascii="Times New Roman" w:hAnsi="Times New Roman"/>
          <w:b/>
          <w:color w:val="000000" w:themeColor="text1"/>
          <w:sz w:val="24"/>
          <w14:textFill>
            <w14:solidFill>
              <w14:schemeClr w14:val="tx1"/>
            </w14:solidFill>
          </w14:textFill>
        </w:rPr>
        <w:t>Application mapping and service-model comparison</w:t>
      </w:r>
    </w:p>
    <w:p w14:paraId="61274E12">
      <w:pPr>
        <w:spacing w:before="80" w:after="80"/>
        <w:rPr>
          <w:rFonts w:ascii="Times New Roman" w:hAnsi="Times New Roman"/>
          <w:b/>
          <w:color w:val="000000" w:themeColor="text1"/>
          <w:sz w:val="24"/>
          <w14:textFill>
            <w14:solidFill>
              <w14:schemeClr w14:val="tx1"/>
            </w14:solidFill>
          </w14:textFill>
        </w:rPr>
      </w:pPr>
    </w:p>
    <w:tbl>
      <w:tblPr>
        <w:tblStyle w:val="18"/>
        <w:tblW w:w="9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6"/>
        <w:gridCol w:w="3054"/>
        <w:gridCol w:w="3099"/>
      </w:tblGrid>
      <w:tr w14:paraId="7AAB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106"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F92019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University application</w:t>
            </w:r>
          </w:p>
        </w:tc>
        <w:tc>
          <w:tcPr>
            <w:tcW w:w="305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51B6EC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Suggested model</w:t>
            </w:r>
          </w:p>
        </w:tc>
        <w:tc>
          <w:tcPr>
            <w:tcW w:w="309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06C6E0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Reason</w:t>
            </w:r>
          </w:p>
        </w:tc>
      </w:tr>
      <w:tr w14:paraId="1EC5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310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7140B4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Student Information System (SIS)</w:t>
            </w:r>
          </w:p>
        </w:tc>
        <w:tc>
          <w:tcPr>
            <w:tcW w:w="30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C8095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IaaS initially</w:t>
            </w:r>
          </w:p>
        </w:tc>
        <w:tc>
          <w:tcPr>
            <w:tcW w:w="3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9B5BDD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Legacy application may need OS-level control; migrate in stages</w:t>
            </w:r>
          </w:p>
        </w:tc>
      </w:tr>
      <w:tr w14:paraId="3FD6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310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B449EA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Learning Management System (LMS)</w:t>
            </w:r>
          </w:p>
        </w:tc>
        <w:tc>
          <w:tcPr>
            <w:tcW w:w="30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8CF12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SaaS</w:t>
            </w:r>
          </w:p>
        </w:tc>
        <w:tc>
          <w:tcPr>
            <w:tcW w:w="3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397615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Standard learning, course and assignment features may be available as a managed product</w:t>
            </w:r>
          </w:p>
        </w:tc>
      </w:tr>
      <w:tr w14:paraId="0318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310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B14CDE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Library System</w:t>
            </w:r>
          </w:p>
        </w:tc>
        <w:tc>
          <w:tcPr>
            <w:tcW w:w="30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0398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PaaS</w:t>
            </w:r>
          </w:p>
        </w:tc>
        <w:tc>
          <w:tcPr>
            <w:tcW w:w="3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B57696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Custom catalogue integration can be deployed without managing servers</w:t>
            </w:r>
          </w:p>
        </w:tc>
      </w:tr>
      <w:tr w14:paraId="399A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3106"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B699AA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Exam Portal</w:t>
            </w:r>
          </w:p>
        </w:tc>
        <w:tc>
          <w:tcPr>
            <w:tcW w:w="30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47DA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PaaS / container IaaS</w:t>
            </w:r>
          </w:p>
        </w:tc>
        <w:tc>
          <w:tcPr>
            <w:tcW w:w="3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64B2B2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Elastic application tier; stronger control may be needed for secure exams</w:t>
            </w:r>
          </w:p>
        </w:tc>
      </w:tr>
      <w:tr w14:paraId="4EB4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3106"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D617D3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Email</w:t>
            </w:r>
          </w:p>
        </w:tc>
        <w:tc>
          <w:tcPr>
            <w:tcW w:w="305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6D2145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SaaS</w:t>
            </w:r>
          </w:p>
        </w:tc>
        <w:tc>
          <w:tcPr>
            <w:tcW w:w="309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54EAAC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Mature hosted email reduces local maintenance</w:t>
            </w:r>
          </w:p>
        </w:tc>
      </w:tr>
    </w:tbl>
    <w:p w14:paraId="4510BADB">
      <w:pPr>
        <w:spacing w:before="80" w:after="80"/>
        <w:rPr>
          <w:rFonts w:hint="default" w:ascii="Times New Roman" w:hAnsi="Times New Roman"/>
          <w:b/>
          <w:color w:val="000000" w:themeColor="text1"/>
          <w:sz w:val="24"/>
          <w:szCs w:val="24"/>
          <w:lang w:val="en-IN"/>
          <w14:textFill>
            <w14:solidFill>
              <w14:schemeClr w14:val="tx1"/>
            </w14:solidFill>
          </w14:textFill>
        </w:rPr>
      </w:pPr>
    </w:p>
    <w:p w14:paraId="4272D391">
      <w:pPr>
        <w:spacing w:before="80" w:after="80"/>
        <w:rPr>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IN"/>
          <w14:textFill>
            <w14:solidFill>
              <w14:schemeClr w14:val="tx1"/>
            </w14:solidFill>
          </w14:textFill>
        </w:rPr>
        <w:t>6.4</w:t>
      </w:r>
      <w:r>
        <w:rPr>
          <w:rFonts w:ascii="Times New Roman" w:hAnsi="Times New Roman"/>
          <w:b/>
          <w:color w:val="000000" w:themeColor="text1"/>
          <w:sz w:val="24"/>
          <w:szCs w:val="24"/>
          <w14:textFill>
            <w14:solidFill>
              <w14:schemeClr w14:val="tx1"/>
            </w14:solidFill>
          </w14:textFill>
        </w:rPr>
        <w:t>. Analysis and application to the university</w:t>
      </w:r>
    </w:p>
    <w:p w14:paraId="6CE124E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Model comparison.</w:t>
      </w:r>
      <w:r>
        <w:rPr>
          <w:rFonts w:ascii="Times New Roman" w:hAnsi="Times New Roman"/>
          <w:color w:val="000000" w:themeColor="text1"/>
          <w:sz w:val="24"/>
          <w:szCs w:val="24"/>
          <w14:textFill>
            <w14:solidFill>
              <w14:schemeClr w14:val="tx1"/>
            </w14:solidFill>
          </w14:textFill>
        </w:rPr>
        <w:t xml:space="preserve"> IaaS provides the highest infrastructure control but also the greatest maintenance effort. PaaS reduces operating-system and runtime administration and is useful for new APIs. SaaS offers the least infrastructure maintenance and fastest adoption, but configuration and customisation may be limited. Costs shift from capital expenditure to recurring operating expenditure; usage, licences, data transfer and support must all be included.</w:t>
      </w:r>
    </w:p>
    <w:p w14:paraId="35CEC6D7">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Recommendation.</w:t>
      </w:r>
      <w:r>
        <w:rPr>
          <w:rFonts w:ascii="Times New Roman" w:hAnsi="Times New Roman"/>
          <w:color w:val="000000" w:themeColor="text1"/>
          <w:sz w:val="24"/>
          <w:szCs w:val="24"/>
          <w14:textFill>
            <w14:solidFill>
              <w14:schemeClr w14:val="tx1"/>
            </w14:solidFill>
          </w14:textFill>
        </w:rPr>
        <w:t xml:space="preserve"> Use a mixed model rather than forcing all five applications into one category. Retain the SIS on IaaS during the first migration phase, select SaaS for email and a suitable LMS, and build university-specific APIs on PaaS. Review vendor lock-in, export formats, uptime commitments, data location and exit costs before signing contracts.</w:t>
      </w:r>
    </w:p>
    <w:p w14:paraId="286487CC">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a mixed IaaS, PaaS and SaaS strategy is more appropriate than using one model for every university application.</w:t>
      </w:r>
    </w:p>
    <w:p w14:paraId="49621419">
      <w:pPr>
        <w:jc w:val="right"/>
        <w:rPr>
          <w:color w:val="000000" w:themeColor="text1"/>
          <w14:textFill>
            <w14:solidFill>
              <w14:schemeClr w14:val="tx1"/>
            </w14:solidFill>
          </w14:textFill>
        </w:rPr>
      </w:pPr>
    </w:p>
    <w:p w14:paraId="29F293B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0A9C7BD">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TASK 7 – ANYTHING AS A SERVICE (XAAS)</w:t>
      </w:r>
    </w:p>
    <w:p w14:paraId="26EC26FC">
      <w:pPr>
        <w:spacing w:before="80" w:after="80"/>
        <w:rPr>
          <w:rFonts w:hint="default" w:ascii="Times New Roman" w:hAnsi="Times New Roman"/>
          <w:b/>
          <w:color w:val="000000" w:themeColor="text1"/>
          <w:sz w:val="24"/>
          <w:lang w:val="en-IN"/>
          <w14:textFill>
            <w14:solidFill>
              <w14:schemeClr w14:val="tx1"/>
            </w14:solidFill>
          </w14:textFill>
        </w:rPr>
      </w:pPr>
    </w:p>
    <w:p w14:paraId="644E5623">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7</w:t>
      </w:r>
      <w:r>
        <w:rPr>
          <w:rFonts w:ascii="Times New Roman" w:hAnsi="Times New Roman"/>
          <w:b/>
          <w:color w:val="000000" w:themeColor="text1"/>
          <w:sz w:val="24"/>
          <w14:textFill>
            <w14:solidFill>
              <w14:schemeClr w14:val="tx1"/>
            </w14:solidFill>
          </w14:textFill>
        </w:rPr>
        <w:t>. Introduction and core concepts</w:t>
      </w:r>
    </w:p>
    <w:p w14:paraId="1FF6730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Meaning of XaaS.</w:t>
      </w:r>
      <w:r>
        <w:rPr>
          <w:rFonts w:ascii="Times New Roman" w:hAnsi="Times New Roman"/>
          <w:color w:val="000000" w:themeColor="text1"/>
          <w:sz w:val="24"/>
          <w:szCs w:val="24"/>
          <w14:textFill>
            <w14:solidFill>
              <w14:schemeClr w14:val="tx1"/>
            </w14:solidFill>
          </w14:textFill>
        </w:rPr>
        <w:t xml:space="preserve"> XaaS means Anything-as-a-Service. It is a broad term for technology capabilities delivered over a network as managed services rather than owned and operated entirely by the customer. The university can consume selected functions on demand, reducing the need to build every technical capability itself.</w:t>
      </w:r>
    </w:p>
    <w:p w14:paraId="4DFD1532">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Important variants.</w:t>
      </w:r>
      <w:r>
        <w:rPr>
          <w:rFonts w:ascii="Times New Roman" w:hAnsi="Times New Roman"/>
          <w:color w:val="000000" w:themeColor="text1"/>
          <w:sz w:val="24"/>
          <w:szCs w:val="24"/>
          <w14:textFill>
            <w14:solidFill>
              <w14:schemeClr w14:val="tx1"/>
            </w14:solidFill>
          </w14:textFill>
        </w:rPr>
        <w:t xml:space="preserve"> 1. DBaaS (Database as a Service): managed database provisioning, patching, backups and scaling. 2. DRaaS (Disaster Recovery as a Service): recovery infrastructure and replication for continuity after a failure. 3. FaaS (Function as a Service): runs small event-triggered functions without managing servers. 4. BaaS/MBaaS (Backend/Mobile Backend as a Service): provides mobile identity, notifications and backend features. 5. Security-as-a-Service: managed security monitoring or threat protection. 6. DaaS may mean Desktop as a Service or Data as a Service; the exact meaning must be defined in the contract.</w:t>
      </w:r>
    </w:p>
    <w:p w14:paraId="25777A4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University benefits.</w:t>
      </w:r>
      <w:r>
        <w:rPr>
          <w:rFonts w:ascii="Times New Roman" w:hAnsi="Times New Roman"/>
          <w:color w:val="000000" w:themeColor="text1"/>
          <w:sz w:val="24"/>
          <w:szCs w:val="24"/>
          <w14:textFill>
            <w14:solidFill>
              <w14:schemeClr w14:val="tx1"/>
            </w14:solidFill>
          </w14:textFill>
        </w:rPr>
        <w:t xml:space="preserve"> Managed services can reduce routine maintenance and allow a small IT team to focus on academic systems. They can also provide specialised capabilities such as database backups, recovery replication and mobile notifications. The university must still verify security, availability, data ownership and service-level commitments.</w:t>
      </w:r>
    </w:p>
    <w:p w14:paraId="564DE8BE">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XaaS offerings should be selected because they solve a specific operational problem, not because the provider offers many service labels. Each service adds a dependency, contract, identity integration and possible data-transfer cost.</w:t>
      </w:r>
    </w:p>
    <w:p w14:paraId="6A0B2C7D">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university should document service owners, escalation contacts, data locations, recovery commitments and exit procedures for every XaaS provider.</w:t>
      </w:r>
    </w:p>
    <w:p w14:paraId="56E60BF7">
      <w:pPr>
        <w:spacing w:after="80" w:line="252" w:lineRule="auto"/>
        <w:jc w:val="both"/>
        <w:rPr>
          <w:rFonts w:ascii="Times New Roman" w:hAnsi="Times New Roman"/>
          <w:color w:val="000000" w:themeColor="text1"/>
          <w:sz w:val="24"/>
          <w:szCs w:val="24"/>
          <w14:textFill>
            <w14:solidFill>
              <w14:schemeClr w14:val="tx1"/>
            </w14:solidFill>
          </w14:textFill>
        </w:rPr>
      </w:pPr>
    </w:p>
    <w:p w14:paraId="5CE83CCE">
      <w:pPr>
        <w:jc w:val="cente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drawing>
          <wp:inline distT="0" distB="0" distL="114300" distR="114300">
            <wp:extent cx="3412490" cy="3422650"/>
            <wp:effectExtent l="0" t="0" r="3810" b="6350"/>
            <wp:docPr id="20" name="Picture 20" descr="Task_07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sk_07_Cloud_Computing"/>
                    <pic:cNvPicPr>
                      <a:picLocks noChangeAspect="1"/>
                    </pic:cNvPicPr>
                  </pic:nvPicPr>
                  <pic:blipFill>
                    <a:blip r:embed="rId19"/>
                    <a:srcRect t="7863"/>
                    <a:stretch>
                      <a:fillRect/>
                    </a:stretch>
                  </pic:blipFill>
                  <pic:spPr>
                    <a:xfrm>
                      <a:off x="0" y="0"/>
                      <a:ext cx="3412490" cy="3422650"/>
                    </a:xfrm>
                    <a:prstGeom prst="rect">
                      <a:avLst/>
                    </a:prstGeom>
                  </pic:spPr>
                </pic:pic>
              </a:graphicData>
            </a:graphic>
          </wp:inline>
        </w:drawing>
      </w:r>
      <w:r>
        <w:rPr>
          <w:color w:val="000000" w:themeColor="text1"/>
          <w:sz w:val="24"/>
          <w:szCs w:val="24"/>
          <w14:textFill>
            <w14:solidFill>
              <w14:schemeClr w14:val="tx1"/>
            </w14:solidFill>
          </w14:textFill>
        </w:rPr>
        <w:br w:type="page"/>
      </w:r>
    </w:p>
    <w:p w14:paraId="5608AFB6">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7.1. </w:t>
      </w:r>
      <w:r>
        <w:rPr>
          <w:rFonts w:ascii="Times New Roman" w:hAnsi="Times New Roman"/>
          <w:b/>
          <w:color w:val="000000" w:themeColor="text1"/>
          <w:sz w:val="24"/>
          <w14:textFill>
            <w14:solidFill>
              <w14:schemeClr w14:val="tx1"/>
            </w14:solidFill>
          </w14:textFill>
        </w:rPr>
        <w:t>XaaS use in the university</w:t>
      </w:r>
    </w:p>
    <w:p w14:paraId="583BAE90">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097270" cy="3868420"/>
            <wp:effectExtent l="0" t="0" r="1143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6097270" cy="3868420"/>
                    </a:xfrm>
                    <a:prstGeom prst="rect">
                      <a:avLst/>
                    </a:prstGeom>
                  </pic:spPr>
                </pic:pic>
              </a:graphicData>
            </a:graphic>
          </wp:inline>
        </w:drawing>
      </w:r>
    </w:p>
    <w:p w14:paraId="648CA0C5">
      <w:pPr>
        <w:spacing w:before="80" w:after="80"/>
        <w:rPr>
          <w:rFonts w:hint="default" w:ascii="Times New Roman" w:hAnsi="Times New Roman"/>
          <w:b/>
          <w:color w:val="000000" w:themeColor="text1"/>
          <w:sz w:val="24"/>
          <w:lang w:val="en-IN"/>
          <w14:textFill>
            <w14:solidFill>
              <w14:schemeClr w14:val="tx1"/>
            </w14:solidFill>
          </w14:textFill>
        </w:rPr>
      </w:pPr>
    </w:p>
    <w:p w14:paraId="2CA9DDC7">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7.</w:t>
      </w:r>
      <w:r>
        <w:rPr>
          <w:rFonts w:ascii="Times New Roman" w:hAnsi="Times New Roman"/>
          <w:b/>
          <w:color w:val="000000" w:themeColor="text1"/>
          <w:sz w:val="24"/>
          <w14:textFill>
            <w14:solidFill>
              <w14:schemeClr w14:val="tx1"/>
            </w14:solidFill>
          </w14:textFill>
        </w:rPr>
        <w:t>2. Explanation of the diagram</w:t>
      </w:r>
    </w:p>
    <w:p w14:paraId="20DD31D1">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Recommended choice 1 – DBaaS.</w:t>
      </w:r>
      <w:r>
        <w:rPr>
          <w:rFonts w:ascii="Times New Roman" w:hAnsi="Times New Roman"/>
          <w:color w:val="000000" w:themeColor="text1"/>
          <w:sz w:val="24"/>
          <w:szCs w:val="24"/>
          <w14:textFill>
            <w14:solidFill>
              <w14:schemeClr w14:val="tx1"/>
            </w14:solidFill>
          </w14:textFill>
        </w:rPr>
        <w:t xml:space="preserve"> DBaaS is recommended for suitable new or migrated application databases. It can automate backups, patching, monitoring and supported scaling. The university should configure private connectivity, encryption, role-based access, retention and tested restore procedures. A managed database is not automatically protected from accidental deletion or poor access control.</w:t>
      </w:r>
    </w:p>
    <w:p w14:paraId="5D313002">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Recommended choice 2 – DRaaS.</w:t>
      </w:r>
      <w:r>
        <w:rPr>
          <w:rFonts w:ascii="Times New Roman" w:hAnsi="Times New Roman"/>
          <w:color w:val="000000" w:themeColor="text1"/>
          <w:sz w:val="24"/>
          <w:szCs w:val="24"/>
          <w14:textFill>
            <w14:solidFill>
              <w14:schemeClr w14:val="tx1"/>
            </w14:solidFill>
          </w14:textFill>
        </w:rPr>
        <w:t xml:space="preserve"> DRaaS is recommended because the current environment has no disaster-recovery site. Replication and documented recovery procedures can reduce the impact of a data-centre outage. Define recovery time objective (RTO) and recovery point objective (RPO), test failover regularly and ensure that backups are protected from ransomware and administrative mistakes.</w:t>
      </w:r>
    </w:p>
    <w:p w14:paraId="31AA0487">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Other useful variants.</w:t>
      </w:r>
      <w:r>
        <w:rPr>
          <w:rFonts w:ascii="Times New Roman" w:hAnsi="Times New Roman"/>
          <w:color w:val="000000" w:themeColor="text1"/>
          <w:sz w:val="24"/>
          <w:szCs w:val="24"/>
          <w14:textFill>
            <w14:solidFill>
              <w14:schemeClr w14:val="tx1"/>
            </w14:solidFill>
          </w14:textFill>
        </w:rPr>
        <w:t xml:space="preserve"> FaaS can process events such as sending a fee receipt or notifying a student when results are published. MBaaS can support mobile authentication and push notifications. Security-as-a-Service can provide centralised threat detection, but alerts must be reviewed and acted upon by the university's security team.</w:t>
      </w:r>
    </w:p>
    <w:p w14:paraId="2A437BB8">
      <w:pPr>
        <w:spacing w:after="80" w:line="252" w:lineRule="auto"/>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7DA6F763">
      <w:pPr>
        <w:rPr>
          <w:color w:val="000000" w:themeColor="text1"/>
          <w14:textFill>
            <w14:solidFill>
              <w14:schemeClr w14:val="tx1"/>
            </w14:solidFill>
          </w14:textFill>
        </w:rPr>
      </w:pPr>
      <w:r>
        <w:rPr>
          <w:color w:val="000000" w:themeColor="text1"/>
          <w:sz w:val="24"/>
          <w:szCs w:val="24"/>
          <w14:textFill>
            <w14:solidFill>
              <w14:schemeClr w14:val="tx1"/>
            </w14:solidFill>
          </w14:textFill>
        </w:rPr>
        <w:br w:type="page"/>
      </w:r>
    </w:p>
    <w:p w14:paraId="56C3A1D7">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7.3. </w:t>
      </w:r>
      <w:r>
        <w:rPr>
          <w:rFonts w:ascii="Times New Roman" w:hAnsi="Times New Roman"/>
          <w:b/>
          <w:color w:val="000000" w:themeColor="text1"/>
          <w:sz w:val="24"/>
          <w14:textFill>
            <w14:solidFill>
              <w14:schemeClr w14:val="tx1"/>
            </w14:solidFill>
          </w14:textFill>
        </w:rPr>
        <w:t>XaaS comparison and provider risks</w:t>
      </w:r>
    </w:p>
    <w:tbl>
      <w:tblPr>
        <w:tblStyle w:val="18"/>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342"/>
        <w:gridCol w:w="2339"/>
        <w:gridCol w:w="2355"/>
      </w:tblGrid>
      <w:tr w14:paraId="161D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2262"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6D0C7A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Variant</w:t>
            </w:r>
          </w:p>
        </w:tc>
        <w:tc>
          <w:tcPr>
            <w:tcW w:w="2342"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64DD1F3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What it provides</w:t>
            </w:r>
          </w:p>
        </w:tc>
        <w:tc>
          <w:tcPr>
            <w:tcW w:w="2339"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D2A3E2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Example university use</w:t>
            </w:r>
          </w:p>
        </w:tc>
        <w:tc>
          <w:tcPr>
            <w:tcW w:w="2355"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5FB04F7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Key control</w:t>
            </w:r>
          </w:p>
        </w:tc>
      </w:tr>
      <w:tr w14:paraId="5F17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26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F0674D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DBaaS</w:t>
            </w:r>
          </w:p>
        </w:tc>
        <w:tc>
          <w:tcPr>
            <w:tcW w:w="23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E78A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Managed database</w:t>
            </w:r>
          </w:p>
        </w:tc>
        <w:tc>
          <w:tcPr>
            <w:tcW w:w="23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EAB6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Student or library database</w:t>
            </w:r>
          </w:p>
        </w:tc>
        <w:tc>
          <w:tcPr>
            <w:tcW w:w="235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3DD5BA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Encryption, access and restore tests</w:t>
            </w:r>
          </w:p>
        </w:tc>
      </w:tr>
      <w:tr w14:paraId="69E2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226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D622C1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DRaaS</w:t>
            </w:r>
          </w:p>
        </w:tc>
        <w:tc>
          <w:tcPr>
            <w:tcW w:w="23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481E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Recovery environment and replication</w:t>
            </w:r>
          </w:p>
        </w:tc>
        <w:tc>
          <w:tcPr>
            <w:tcW w:w="23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58760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Recover portal after regional outage</w:t>
            </w:r>
          </w:p>
        </w:tc>
        <w:tc>
          <w:tcPr>
            <w:tcW w:w="235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8FA8D2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RTO/RPO and failover tests</w:t>
            </w:r>
          </w:p>
        </w:tc>
      </w:tr>
      <w:tr w14:paraId="3AF0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26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57A6C4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FaaS</w:t>
            </w:r>
          </w:p>
        </w:tc>
        <w:tc>
          <w:tcPr>
            <w:tcW w:w="23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86BBA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Event-triggered functions</w:t>
            </w:r>
          </w:p>
        </w:tc>
        <w:tc>
          <w:tcPr>
            <w:tcW w:w="23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40EFB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Send result notification</w:t>
            </w:r>
          </w:p>
        </w:tc>
        <w:tc>
          <w:tcPr>
            <w:tcW w:w="235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DEF885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Execution limits and secure secrets</w:t>
            </w:r>
          </w:p>
        </w:tc>
      </w:tr>
      <w:tr w14:paraId="314F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26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B28AF4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MBaaS</w:t>
            </w:r>
          </w:p>
        </w:tc>
        <w:tc>
          <w:tcPr>
            <w:tcW w:w="23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CB6BC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Mobile backend capabilities</w:t>
            </w:r>
          </w:p>
        </w:tc>
        <w:tc>
          <w:tcPr>
            <w:tcW w:w="23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181E1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Mobile login and push notifications</w:t>
            </w:r>
          </w:p>
        </w:tc>
        <w:tc>
          <w:tcPr>
            <w:tcW w:w="235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98B4B6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Identity and data minimisation</w:t>
            </w:r>
          </w:p>
        </w:tc>
      </w:tr>
      <w:tr w14:paraId="13EF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26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B15B88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Security-as-a-Service</w:t>
            </w:r>
          </w:p>
        </w:tc>
        <w:tc>
          <w:tcPr>
            <w:tcW w:w="23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3655A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Managed security capabilities</w:t>
            </w:r>
          </w:p>
        </w:tc>
        <w:tc>
          <w:tcPr>
            <w:tcW w:w="23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9D6A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Threat monitoring</w:t>
            </w:r>
          </w:p>
        </w:tc>
        <w:tc>
          <w:tcPr>
            <w:tcW w:w="235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50C57D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Alert ownership and incident response</w:t>
            </w:r>
          </w:p>
        </w:tc>
      </w:tr>
      <w:tr w14:paraId="7CE2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2262"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26E5194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DaaS</w:t>
            </w:r>
          </w:p>
        </w:tc>
        <w:tc>
          <w:tcPr>
            <w:tcW w:w="2342"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369CB2F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Desktop or data service, depending on definition</w:t>
            </w:r>
          </w:p>
        </w:tc>
        <w:tc>
          <w:tcPr>
            <w:tcW w:w="2339"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3EA62B6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Virtual lab desktop or governed data access</w:t>
            </w:r>
          </w:p>
        </w:tc>
        <w:tc>
          <w:tcPr>
            <w:tcW w:w="2355"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4BCC777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Clarify scope and data rights</w:t>
            </w:r>
          </w:p>
        </w:tc>
      </w:tr>
    </w:tbl>
    <w:p w14:paraId="0A1A23DC">
      <w:pPr>
        <w:spacing w:before="80" w:after="80"/>
        <w:rPr>
          <w:rFonts w:hint="default" w:ascii="Times New Roman" w:hAnsi="Times New Roman"/>
          <w:b/>
          <w:color w:val="000000" w:themeColor="text1"/>
          <w:sz w:val="24"/>
          <w:lang w:val="en-IN"/>
          <w14:textFill>
            <w14:solidFill>
              <w14:schemeClr w14:val="tx1"/>
            </w14:solidFill>
          </w14:textFill>
        </w:rPr>
      </w:pPr>
    </w:p>
    <w:p w14:paraId="6784E8CF">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7.4</w:t>
      </w:r>
      <w:r>
        <w:rPr>
          <w:rFonts w:ascii="Times New Roman" w:hAnsi="Times New Roman"/>
          <w:b/>
          <w:color w:val="000000" w:themeColor="text1"/>
          <w:sz w:val="24"/>
          <w14:textFill>
            <w14:solidFill>
              <w14:schemeClr w14:val="tx1"/>
            </w14:solidFill>
          </w14:textFill>
        </w:rPr>
        <w:t>. Analysis and application to the university</w:t>
      </w:r>
    </w:p>
    <w:p w14:paraId="0350352C">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Risks of depending on many providers.</w:t>
      </w:r>
      <w:r>
        <w:rPr>
          <w:rFonts w:ascii="Times New Roman" w:hAnsi="Times New Roman"/>
          <w:color w:val="000000" w:themeColor="text1"/>
          <w:sz w:val="24"/>
          <w:szCs w:val="24"/>
          <w14:textFill>
            <w14:solidFill>
              <w14:schemeClr w14:val="tx1"/>
            </w14:solidFill>
          </w14:textFill>
        </w:rPr>
        <w:t xml:space="preserve"> Multiple providers can create fragmented identity, inconsistent security policies, integration complexity and difficult incident ownership. Data transfer and egress charges may increase costs. Provider outages or contract changes can affect critical services. Different backup and logging systems can make investigations difficult.</w:t>
      </w:r>
    </w:p>
    <w:p w14:paraId="7C08778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Risk reduction.</w:t>
      </w:r>
      <w:r>
        <w:rPr>
          <w:rFonts w:ascii="Times New Roman" w:hAnsi="Times New Roman"/>
          <w:color w:val="000000" w:themeColor="text1"/>
          <w:sz w:val="24"/>
          <w:szCs w:val="24"/>
          <w14:textFill>
            <w14:solidFill>
              <w14:schemeClr w14:val="tx1"/>
            </w14:solidFill>
          </w14:textFill>
        </w:rPr>
        <w:t xml:space="preserve"> Maintain a provider inventory, standardise identity through central single sign-on, use documented APIs, encrypt data, retain independent backups and test data export. Contracts should specify availability, support response, data location, breach notification, recovery and termination assistance. Select DBaaS and DRaaS first because they directly address database operations and the absence of recovery capability.</w:t>
      </w:r>
    </w:p>
    <w:p w14:paraId="552E6638">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DBaaS and DRaaS are the two strongest initial XaaS choices because they address database operations and the university's current lack of disaster recovery.</w:t>
      </w:r>
    </w:p>
    <w:p w14:paraId="7CB9C20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34B6997">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 xml:space="preserve"> 8 – CLOUD SOLUTION ARCHITECTURE</w:t>
      </w:r>
    </w:p>
    <w:p w14:paraId="4E70E741">
      <w:pPr>
        <w:jc w:val="center"/>
        <w:rPr>
          <w:color w:val="000000" w:themeColor="text1"/>
          <w14:textFill>
            <w14:solidFill>
              <w14:schemeClr w14:val="tx1"/>
            </w14:solidFill>
          </w14:textFill>
        </w:rPr>
      </w:pPr>
    </w:p>
    <w:p w14:paraId="3D442187">
      <w:pPr>
        <w:spacing w:before="80" w:after="80"/>
        <w:rPr>
          <w:color w:val="000000" w:themeColor="text1"/>
          <w:sz w:val="24"/>
          <w:szCs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8</w:t>
      </w:r>
      <w:r>
        <w:rPr>
          <w:rFonts w:ascii="Times New Roman" w:hAnsi="Times New Roman"/>
          <w:b/>
          <w:color w:val="000000" w:themeColor="text1"/>
          <w:sz w:val="24"/>
          <w14:textFill>
            <w14:solidFill>
              <w14:schemeClr w14:val="tx1"/>
            </w14:solidFill>
          </w14:textFill>
        </w:rPr>
        <w:t>.</w:t>
      </w:r>
      <w:r>
        <w:rPr>
          <w:rFonts w:ascii="Times New Roman" w:hAnsi="Times New Roman"/>
          <w:b/>
          <w:color w:val="000000" w:themeColor="text1"/>
          <w:sz w:val="24"/>
          <w:szCs w:val="24"/>
          <w14:textFill>
            <w14:solidFill>
              <w14:schemeClr w14:val="tx1"/>
            </w14:solidFill>
          </w14:textFill>
        </w:rPr>
        <w:t xml:space="preserve"> Introduction and core concepts</w:t>
      </w:r>
    </w:p>
    <w:p w14:paraId="255FB9D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Design objective.</w:t>
      </w:r>
      <w:r>
        <w:rPr>
          <w:rFonts w:ascii="Times New Roman" w:hAnsi="Times New Roman"/>
          <w:color w:val="000000" w:themeColor="text1"/>
          <w:sz w:val="24"/>
          <w:szCs w:val="24"/>
          <w14:textFill>
            <w14:solidFill>
              <w14:schemeClr w14:val="tx1"/>
            </w14:solidFill>
          </w14:textFill>
        </w:rPr>
        <w:t xml:space="preserve"> The proposed architecture migrates the university's SIS, LMS, library, examination portal and email from 12 under-used physical servers to a secure, scalable hybrid-cloud environment. It must support approximately 25,000 students and 2,000 staff across four campuses, improve peak capacity and introduce disaster recovery.</w:t>
      </w:r>
    </w:p>
    <w:p w14:paraId="40E965B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Deployment and service choices.</w:t>
      </w:r>
      <w:r>
        <w:rPr>
          <w:rFonts w:ascii="Times New Roman" w:hAnsi="Times New Roman"/>
          <w:color w:val="000000" w:themeColor="text1"/>
          <w:sz w:val="24"/>
          <w:szCs w:val="24"/>
          <w14:textFill>
            <w14:solidFill>
              <w14:schemeClr w14:val="tx1"/>
            </w14:solidFill>
          </w14:textFill>
        </w:rPr>
        <w:t xml:space="preserve"> Use a hybrid deployment during migration. Public-cloud services host the internet-facing load balancer, web tier, API gateway and scalable application services. Sensitive databases use private subnets and strict access controls. Use IaaS for legacy VMs, PaaS for new APIs and application services, SaaS for suitable email/LMS capabilities, and DBaaS where governance and compatibility permit.</w:t>
      </w:r>
    </w:p>
    <w:p w14:paraId="47CF9347">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Architecture components.</w:t>
      </w:r>
      <w:r>
        <w:rPr>
          <w:rFonts w:ascii="Times New Roman" w:hAnsi="Times New Roman"/>
          <w:color w:val="000000" w:themeColor="text1"/>
          <w:sz w:val="24"/>
          <w:szCs w:val="24"/>
          <w14:textFill>
            <w14:solidFill>
              <w14:schemeClr w14:val="tx1"/>
            </w14:solidFill>
          </w14:textFill>
        </w:rPr>
        <w:t xml:space="preserve"> Users connect through HTTPS. A web application firewall and load balancer distribute traffic across multiple application instances. The API gateway authenticates and routes mobile and partner-college requests. Application services connect to private databases and object storage. Monitoring, logging, backup and a separate disaster-recovery region support operations.</w:t>
      </w:r>
    </w:p>
    <w:p w14:paraId="5195F640">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architecture separates the internet-facing entry points from private data resources. This reduces direct exposure of databases and makes it possible to scale the application tier independently from storage and database capacity.</w:t>
      </w:r>
    </w:p>
    <w:p w14:paraId="5CDD41EF">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architecture is logical and must be converted into a tested deployment plan. Sizing requires concurrent-user estimates, request rates, storage growth, database I/O and recovery objectives.</w:t>
      </w:r>
    </w:p>
    <w:p w14:paraId="5719DCA0">
      <w:pPr>
        <w:spacing w:after="80" w:line="252" w:lineRule="auto"/>
        <w:jc w:val="both"/>
        <w:rPr>
          <w:rFonts w:ascii="Times New Roman" w:hAnsi="Times New Roman"/>
          <w:color w:val="000000" w:themeColor="text1"/>
          <w:sz w:val="24"/>
          <w:szCs w:val="24"/>
          <w14:textFill>
            <w14:solidFill>
              <w14:schemeClr w14:val="tx1"/>
            </w14:solidFill>
          </w14:textFill>
        </w:rPr>
      </w:pPr>
    </w:p>
    <w:p w14:paraId="2AD497B6">
      <w:pPr>
        <w:jc w:val="center"/>
        <w:rPr>
          <w:rFonts w:hint="default"/>
          <w:color w:val="000000" w:themeColor="text1"/>
          <w:sz w:val="24"/>
          <w:szCs w:val="24"/>
          <w:lang w:val="en-IN"/>
          <w14:textFill>
            <w14:solidFill>
              <w14:schemeClr w14:val="tx1"/>
            </w14:solidFill>
          </w14:textFill>
        </w:rPr>
      </w:pPr>
      <w:r>
        <w:rPr>
          <w:rFonts w:hint="default"/>
          <w:color w:val="000000" w:themeColor="text1"/>
          <w:sz w:val="24"/>
          <w:szCs w:val="24"/>
          <w:lang w:val="en-IN"/>
          <w14:textFill>
            <w14:solidFill>
              <w14:schemeClr w14:val="tx1"/>
            </w14:solidFill>
          </w14:textFill>
        </w:rPr>
        <w:drawing>
          <wp:inline distT="0" distB="0" distL="114300" distR="114300">
            <wp:extent cx="3656330" cy="3531870"/>
            <wp:effectExtent l="0" t="0" r="1270" b="11430"/>
            <wp:docPr id="21" name="Picture 21" descr="Task_08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sk_08_Cloud_Computing"/>
                    <pic:cNvPicPr>
                      <a:picLocks noChangeAspect="1"/>
                    </pic:cNvPicPr>
                  </pic:nvPicPr>
                  <pic:blipFill>
                    <a:blip r:embed="rId21"/>
                    <a:srcRect t="8547"/>
                    <a:stretch>
                      <a:fillRect/>
                    </a:stretch>
                  </pic:blipFill>
                  <pic:spPr>
                    <a:xfrm>
                      <a:off x="0" y="0"/>
                      <a:ext cx="3656330" cy="3531870"/>
                    </a:xfrm>
                    <a:prstGeom prst="rect">
                      <a:avLst/>
                    </a:prstGeom>
                  </pic:spPr>
                </pic:pic>
              </a:graphicData>
            </a:graphic>
          </wp:inline>
        </w:drawing>
      </w:r>
      <w:r>
        <w:rPr>
          <w:color w:val="000000" w:themeColor="text1"/>
          <w:sz w:val="24"/>
          <w:szCs w:val="24"/>
          <w14:textFill>
            <w14:solidFill>
              <w14:schemeClr w14:val="tx1"/>
            </w14:solidFill>
          </w14:textFill>
        </w:rPr>
        <w:br w:type="page"/>
      </w:r>
    </w:p>
    <w:p w14:paraId="160C0F1E">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8.1. </w:t>
      </w:r>
      <w:r>
        <w:rPr>
          <w:rFonts w:ascii="Times New Roman" w:hAnsi="Times New Roman"/>
          <w:b/>
          <w:color w:val="000000" w:themeColor="text1"/>
          <w:sz w:val="24"/>
          <w14:textFill>
            <w14:solidFill>
              <w14:schemeClr w14:val="tx1"/>
            </w14:solidFill>
          </w14:textFill>
        </w:rPr>
        <w:t>Proposed labelled cloud architecture</w:t>
      </w:r>
    </w:p>
    <w:p w14:paraId="0B422036">
      <w:pPr>
        <w:spacing w:before="80" w:after="80"/>
        <w:rPr>
          <w:rFonts w:ascii="Times New Roman" w:hAnsi="Times New Roman"/>
          <w:b/>
          <w:color w:val="000000" w:themeColor="text1"/>
          <w:sz w:val="24"/>
          <w14:textFill>
            <w14:solidFill>
              <w14:schemeClr w14:val="tx1"/>
            </w14:solidFill>
          </w14:textFill>
        </w:rPr>
      </w:pPr>
    </w:p>
    <w:p w14:paraId="7F5C2395">
      <w:pPr>
        <w:spacing w:before="80" w:after="8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922010" cy="3907155"/>
            <wp:effectExtent l="0" t="0" r="889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922010" cy="3907155"/>
                    </a:xfrm>
                    <a:prstGeom prst="rect">
                      <a:avLst/>
                    </a:prstGeom>
                  </pic:spPr>
                </pic:pic>
              </a:graphicData>
            </a:graphic>
          </wp:inline>
        </w:drawing>
      </w:r>
    </w:p>
    <w:p w14:paraId="5D27F7E4">
      <w:pPr>
        <w:spacing w:before="80" w:after="80"/>
        <w:rPr>
          <w:rFonts w:hint="default" w:ascii="Times New Roman" w:hAnsi="Times New Roman"/>
          <w:b/>
          <w:color w:val="000000" w:themeColor="text1"/>
          <w:sz w:val="24"/>
          <w:lang w:val="en-IN"/>
          <w14:textFill>
            <w14:solidFill>
              <w14:schemeClr w14:val="tx1"/>
            </w14:solidFill>
          </w14:textFill>
        </w:rPr>
      </w:pPr>
    </w:p>
    <w:p w14:paraId="14ED3E97">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8.</w:t>
      </w:r>
      <w:r>
        <w:rPr>
          <w:rFonts w:ascii="Times New Roman" w:hAnsi="Times New Roman"/>
          <w:b/>
          <w:color w:val="000000" w:themeColor="text1"/>
          <w:sz w:val="24"/>
          <w14:textFill>
            <w14:solidFill>
              <w14:schemeClr w14:val="tx1"/>
            </w14:solidFill>
          </w14:textFill>
        </w:rPr>
        <w:t>2. Explanation of the diagram</w:t>
      </w:r>
    </w:p>
    <w:p w14:paraId="45466735">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Traffic and scaling flow.</w:t>
      </w:r>
      <w:r>
        <w:rPr>
          <w:rFonts w:ascii="Times New Roman" w:hAnsi="Times New Roman"/>
          <w:color w:val="000000" w:themeColor="text1"/>
          <w:sz w:val="24"/>
          <w:szCs w:val="24"/>
          <w14:textFill>
            <w14:solidFill>
              <w14:schemeClr w14:val="tx1"/>
            </w14:solidFill>
          </w14:textFill>
        </w:rPr>
        <w:t xml:space="preserve"> DNS directs users to the cloud entry point. The web firewall filters common malicious traffic. The load balancer distributes requests across healthy instances. Auto-scaling adds application instances when CPU, request count or queue length rises and removes excess instances when demand falls. The API gateway applies authentication, authorisation and rate limits before requests reach internal services.</w:t>
      </w:r>
    </w:p>
    <w:p w14:paraId="54E9ACE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Security and availability.</w:t>
      </w:r>
      <w:r>
        <w:rPr>
          <w:rFonts w:ascii="Times New Roman" w:hAnsi="Times New Roman"/>
          <w:color w:val="000000" w:themeColor="text1"/>
          <w:sz w:val="24"/>
          <w:szCs w:val="24"/>
          <w14:textFill>
            <w14:solidFill>
              <w14:schemeClr w14:val="tx1"/>
            </w14:solidFill>
          </w14:textFill>
        </w:rPr>
        <w:t xml:space="preserve"> Use multi-factor authentication for administrators, role-based access for users, encryption in transit and at rest, private database subnets, secrets management and central audit logs. Deploy critical components across multiple availability zones. Back up databases and files to a separate recovery region. Test restoration and failover rather than relying only on a successful backup status.</w:t>
      </w:r>
    </w:p>
    <w:p w14:paraId="31693246">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42CA50C5">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252C03F3">
      <w:pPr>
        <w:spacing w:before="80" w:after="80"/>
        <w:jc w:val="left"/>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8.3. </w:t>
      </w:r>
      <w:r>
        <w:rPr>
          <w:rFonts w:ascii="Times New Roman" w:hAnsi="Times New Roman"/>
          <w:b/>
          <w:color w:val="000000" w:themeColor="text1"/>
          <w:sz w:val="24"/>
          <w14:textFill>
            <w14:solidFill>
              <w14:schemeClr w14:val="tx1"/>
            </w14:solidFill>
          </w14:textFill>
        </w:rPr>
        <w:t>Component justification and design controls</w:t>
      </w:r>
    </w:p>
    <w:tbl>
      <w:tblPr>
        <w:tblStyle w:val="18"/>
        <w:tblW w:w="9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gridCol w:w="3052"/>
        <w:gridCol w:w="3129"/>
      </w:tblGrid>
      <w:tr w14:paraId="197C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077"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B70D477">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Component</w:t>
            </w:r>
          </w:p>
        </w:tc>
        <w:tc>
          <w:tcPr>
            <w:tcW w:w="3052"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588AC48A">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Model / placement</w:t>
            </w:r>
          </w:p>
        </w:tc>
        <w:tc>
          <w:tcPr>
            <w:tcW w:w="312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E3C26C6">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Purpose and justification</w:t>
            </w:r>
          </w:p>
        </w:tc>
      </w:tr>
      <w:tr w14:paraId="4D00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FE7F1B7">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Load balancer + firewall</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B6BC1D">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Managed cloud service / public edge</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7F72348">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Distributes traffic and filters unsafe requests</w:t>
            </w:r>
          </w:p>
        </w:tc>
      </w:tr>
      <w:tr w14:paraId="591E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662BF21">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Web and application tier</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10032F">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PaaS or container-based IaaS</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1C6450D">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Scales during admissions and exams</w:t>
            </w:r>
          </w:p>
        </w:tc>
      </w:tr>
      <w:tr w14:paraId="0064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C448C46">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 gateway</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B5D81B">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Managed PaaS service</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9B5D93A">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Controls mobile and college API access</w:t>
            </w:r>
          </w:p>
        </w:tc>
      </w:tr>
      <w:tr w14:paraId="0179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5BD6044">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Legacy SIS</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05D18B">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IaaS VM in private network</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6F5C68E">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Supports existing application during migration</w:t>
            </w:r>
          </w:p>
        </w:tc>
      </w:tr>
      <w:tr w14:paraId="163B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2C54DD4">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Database</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CC2B7E">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DBaaS or managed IaaS database</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E2FFC05">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Persistent records, backup and controlled access</w:t>
            </w:r>
          </w:p>
        </w:tc>
      </w:tr>
      <w:tr w14:paraId="2E88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D58ABCB">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File storage</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055FDF">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Cloud object storage</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E19FA6A">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Documents, learning content and exam files</w:t>
            </w:r>
          </w:p>
        </w:tc>
      </w:tr>
      <w:tr w14:paraId="11F8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7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3B54FEF">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DR region</w:t>
            </w:r>
          </w:p>
        </w:tc>
        <w:tc>
          <w:tcPr>
            <w:tcW w:w="30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D7DE34">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DRaaS / replicated cloud resources</w:t>
            </w:r>
          </w:p>
        </w:tc>
        <w:tc>
          <w:tcPr>
            <w:tcW w:w="31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2E28792">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Recovery after regional failure</w:t>
            </w:r>
          </w:p>
        </w:tc>
      </w:tr>
      <w:tr w14:paraId="6CD1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3077"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3500C54">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Email</w:t>
            </w:r>
          </w:p>
        </w:tc>
        <w:tc>
          <w:tcPr>
            <w:tcW w:w="3052"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648DBC9">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SaaS</w:t>
            </w:r>
          </w:p>
        </w:tc>
        <w:tc>
          <w:tcPr>
            <w:tcW w:w="312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2DB8129E">
            <w:pPr>
              <w:spacing w:after="20" w:line="240" w:lineRule="auto"/>
              <w:jc w:val="left"/>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Reduces local server administration</w:t>
            </w:r>
          </w:p>
        </w:tc>
      </w:tr>
    </w:tbl>
    <w:p w14:paraId="19A0BBE5">
      <w:pPr>
        <w:spacing w:before="80" w:after="80"/>
        <w:jc w:val="both"/>
        <w:rPr>
          <w:rFonts w:hint="default" w:ascii="Times New Roman" w:hAnsi="Times New Roman"/>
          <w:b/>
          <w:color w:val="000000" w:themeColor="text1"/>
          <w:sz w:val="24"/>
          <w:lang w:val="en-IN"/>
          <w14:textFill>
            <w14:solidFill>
              <w14:schemeClr w14:val="tx1"/>
            </w14:solidFill>
          </w14:textFill>
        </w:rPr>
      </w:pPr>
    </w:p>
    <w:p w14:paraId="160B253F">
      <w:pPr>
        <w:spacing w:before="80" w:after="80"/>
        <w:jc w:val="both"/>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8.4</w:t>
      </w:r>
      <w:r>
        <w:rPr>
          <w:rFonts w:ascii="Times New Roman" w:hAnsi="Times New Roman"/>
          <w:b/>
          <w:color w:val="000000" w:themeColor="text1"/>
          <w:sz w:val="24"/>
          <w14:textFill>
            <w14:solidFill>
              <w14:schemeClr w14:val="tx1"/>
            </w14:solidFill>
          </w14:textFill>
        </w:rPr>
        <w:t>. Analysis and application to the university</w:t>
      </w:r>
    </w:p>
    <w:p w14:paraId="3C5E6FF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Design assumptions.</w:t>
      </w:r>
      <w:r>
        <w:rPr>
          <w:rFonts w:ascii="Times New Roman" w:hAnsi="Times New Roman"/>
          <w:color w:val="000000" w:themeColor="text1"/>
          <w:sz w:val="24"/>
          <w:szCs w:val="24"/>
          <w14:textFill>
            <w14:solidFill>
              <w14:schemeClr w14:val="tx1"/>
            </w14:solidFill>
          </w14:textFill>
        </w:rPr>
        <w:t xml:space="preserve"> Initial sizing must be based on measured concurrent users, request rates, database IOPS, storage growth and network throughput. The architecture diagram is logical, not a final bill of materials. Load tests must establish safe autoscaling thresholds and database connection limits. Availability depends on the whole service chain, including DNS, identity, network, database and external payment services.</w:t>
      </w:r>
    </w:p>
    <w:p w14:paraId="52703244">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Conclusion.</w:t>
      </w:r>
      <w:r>
        <w:rPr>
          <w:rFonts w:ascii="Times New Roman" w:hAnsi="Times New Roman"/>
          <w:color w:val="000000" w:themeColor="text1"/>
          <w:sz w:val="24"/>
          <w:szCs w:val="24"/>
          <w14:textFill>
            <w14:solidFill>
              <w14:schemeClr w14:val="tx1"/>
            </w14:solidFill>
          </w14:textFill>
        </w:rPr>
        <w:t xml:space="preserve"> The hybrid architecture supports gradual migration and avoids a risky one-time replacement. It separates public-facing services from private data, uses APIs for integration and scales the application tier independently. Multi-zone deployment and a tested DR region improve resilience while managed services reduce routine administration.</w:t>
      </w:r>
    </w:p>
    <w:p w14:paraId="1DA84294">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the proposed hybrid cloud architecture combines controlled access, independent scaling, managed services and recovery capabilities to support the university's migration.</w:t>
      </w:r>
    </w:p>
    <w:p w14:paraId="41553F03">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44556E82">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9 – HANDS-ON IMPLEMENTATION AND DOCUMENTATION</w:t>
      </w:r>
    </w:p>
    <w:p w14:paraId="49FE3A8C">
      <w:pPr>
        <w:spacing w:before="80" w:after="80"/>
        <w:rPr>
          <w:rFonts w:ascii="Times New Roman" w:hAnsi="Times New Roman"/>
          <w:b/>
          <w:color w:val="000000" w:themeColor="text1"/>
          <w:sz w:val="24"/>
          <w14:textFill>
            <w14:solidFill>
              <w14:schemeClr w14:val="tx1"/>
            </w14:solidFill>
          </w14:textFill>
        </w:rPr>
      </w:pPr>
    </w:p>
    <w:p w14:paraId="0775EB49">
      <w:pPr>
        <w:spacing w:before="80" w:after="80"/>
        <w:jc w:val="both"/>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9</w:t>
      </w:r>
      <w:r>
        <w:rPr>
          <w:rFonts w:ascii="Times New Roman" w:hAnsi="Times New Roman"/>
          <w:b/>
          <w:color w:val="000000" w:themeColor="text1"/>
          <w:sz w:val="24"/>
          <w14:textFill>
            <w14:solidFill>
              <w14:schemeClr w14:val="tx1"/>
            </w14:solidFill>
          </w14:textFill>
        </w:rPr>
        <w:t>. Introduction and core concepts</w:t>
      </w:r>
    </w:p>
    <w:p w14:paraId="485881C2">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Proof-of-concept objective.</w:t>
      </w:r>
      <w:r>
        <w:rPr>
          <w:rFonts w:ascii="Times New Roman" w:hAnsi="Times New Roman"/>
          <w:color w:val="000000" w:themeColor="text1"/>
          <w:sz w:val="24"/>
          <w:szCs w:val="24"/>
          <w14:textFill>
            <w14:solidFill>
              <w14:schemeClr w14:val="tx1"/>
            </w14:solidFill>
          </w14:textFill>
        </w:rPr>
        <w:t xml:space="preserve"> This task demonstrates one university function as a small REST API, packaged in a Docker container and tested locally. The example is a student result lookup endpoint. The assignment brief permits a local virtualisation tool or a free-tier cloud account. The steps below are reproducible; actual execution screenshots and output must be captured from the student's own environment and must not be represented by invented evidence.</w:t>
      </w:r>
    </w:p>
    <w:p w14:paraId="0C50458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Tools required.</w:t>
      </w:r>
      <w:r>
        <w:rPr>
          <w:rFonts w:ascii="Times New Roman" w:hAnsi="Times New Roman"/>
          <w:color w:val="000000" w:themeColor="text1"/>
          <w:sz w:val="24"/>
          <w:szCs w:val="24"/>
          <w14:textFill>
            <w14:solidFill>
              <w14:schemeClr w14:val="tx1"/>
            </w14:solidFill>
          </w14:textFill>
        </w:rPr>
        <w:t xml:space="preserve"> Install Python 3, Docker Desktop and a code editor. Create a project folder containing app.py, requirements.txt and Dockerfile. The Flask framework provides a simple HTTP endpoint. Docker packages the application and its dependencies into a container image so that it can run consistently on a compatible host.</w:t>
      </w:r>
    </w:p>
    <w:p w14:paraId="6DCACBC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Sample application.</w:t>
      </w:r>
      <w:r>
        <w:rPr>
          <w:rFonts w:ascii="Times New Roman" w:hAnsi="Times New Roman"/>
          <w:color w:val="000000" w:themeColor="text1"/>
          <w:sz w:val="24"/>
          <w:szCs w:val="24"/>
          <w14:textFill>
            <w14:solidFill>
              <w14:schemeClr w14:val="tx1"/>
            </w14:solidFill>
          </w14:textFill>
        </w:rPr>
        <w:t xml:space="preserve"> The API returns a demonstration record for a student identifier. It is sample data only and must not contain real student personal information. In a real system, the endpoint must authenticate the caller, authorise access to the requested record and read data from a protected database.</w:t>
      </w:r>
    </w:p>
    <w:p w14:paraId="0EB4EA7B">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purpose of the proof-of-concept is to demonstrate the deployment chain: source code, dependency definition, container image, running container, HTTP request and returned JSON. A screenshot should show the command or tool, the endpoint and the actual result.</w:t>
      </w:r>
    </w:p>
    <w:p w14:paraId="5CE3EEFF">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Use only demonstration records in the sample. A production implementation requires authentication, authorisation, secure configuration, database connectivity, logging and privacy review.</w:t>
      </w:r>
    </w:p>
    <w:p w14:paraId="62AA14E3">
      <w:pPr>
        <w:spacing w:after="80" w:line="252" w:lineRule="auto"/>
        <w:jc w:val="both"/>
        <w:rPr>
          <w:rFonts w:ascii="Times New Roman" w:hAnsi="Times New Roman"/>
          <w:color w:val="000000" w:themeColor="text1"/>
          <w:sz w:val="24"/>
          <w:szCs w:val="24"/>
          <w14:textFill>
            <w14:solidFill>
              <w14:schemeClr w14:val="tx1"/>
            </w14:solidFill>
          </w14:textFill>
        </w:rPr>
      </w:pPr>
    </w:p>
    <w:p w14:paraId="2B048571">
      <w:pPr>
        <w:rPr>
          <w:rFonts w:hint="default"/>
          <w:color w:val="000000" w:themeColor="text1"/>
          <w:sz w:val="24"/>
          <w:szCs w:val="24"/>
          <w:lang w:val="en-IN"/>
          <w14:textFill>
            <w14:solidFill>
              <w14:schemeClr w14:val="tx1"/>
            </w14:solidFill>
          </w14:textFill>
        </w:rPr>
      </w:pPr>
      <w:r>
        <w:rPr>
          <w:rFonts w:hint="default"/>
          <w:color w:val="000000" w:themeColor="text1"/>
          <w:sz w:val="24"/>
          <w:szCs w:val="24"/>
          <w:lang w:val="en-IN"/>
          <w14:textFill>
            <w14:solidFill>
              <w14:schemeClr w14:val="tx1"/>
            </w14:solidFill>
          </w14:textFill>
        </w:rPr>
        <w:drawing>
          <wp:inline distT="0" distB="0" distL="114300" distR="114300">
            <wp:extent cx="6073775" cy="2644140"/>
            <wp:effectExtent l="0" t="0" r="9525" b="10160"/>
            <wp:docPr id="22" name="Picture 22" descr="Task_09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sk_09_Cloud_Computing"/>
                    <pic:cNvPicPr>
                      <a:picLocks noChangeAspect="1"/>
                    </pic:cNvPicPr>
                  </pic:nvPicPr>
                  <pic:blipFill>
                    <a:blip r:embed="rId23"/>
                    <a:stretch>
                      <a:fillRect/>
                    </a:stretch>
                  </pic:blipFill>
                  <pic:spPr>
                    <a:xfrm>
                      <a:off x="0" y="0"/>
                      <a:ext cx="6073775" cy="2644140"/>
                    </a:xfrm>
                    <a:prstGeom prst="rect">
                      <a:avLst/>
                    </a:prstGeom>
                  </pic:spPr>
                </pic:pic>
              </a:graphicData>
            </a:graphic>
          </wp:inline>
        </w:drawing>
      </w:r>
      <w:r>
        <w:rPr>
          <w:color w:val="000000" w:themeColor="text1"/>
          <w:sz w:val="24"/>
          <w:szCs w:val="24"/>
          <w14:textFill>
            <w14:solidFill>
              <w14:schemeClr w14:val="tx1"/>
            </w14:solidFill>
          </w14:textFill>
        </w:rPr>
        <w:br w:type="page"/>
      </w:r>
    </w:p>
    <w:p w14:paraId="79B5E731">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9.1. </w:t>
      </w:r>
      <w:r>
        <w:rPr>
          <w:rFonts w:ascii="Times New Roman" w:hAnsi="Times New Roman"/>
          <w:b/>
          <w:color w:val="000000" w:themeColor="text1"/>
          <w:sz w:val="24"/>
          <w14:textFill>
            <w14:solidFill>
              <w14:schemeClr w14:val="tx1"/>
            </w14:solidFill>
          </w14:textFill>
        </w:rPr>
        <w:t>Implementation flow and sample code</w:t>
      </w:r>
    </w:p>
    <w:p w14:paraId="2819B470">
      <w:pPr>
        <w:spacing w:before="80" w:after="80"/>
        <w:rPr>
          <w:rFonts w:ascii="Times New Roman" w:hAnsi="Times New Roman"/>
          <w:b/>
          <w:color w:val="000000" w:themeColor="text1"/>
          <w:sz w:val="24"/>
          <w14:textFill>
            <w14:solidFill>
              <w14:schemeClr w14:val="tx1"/>
            </w14:solidFill>
          </w14:textFill>
        </w:rPr>
      </w:pPr>
    </w:p>
    <w:p w14:paraId="221B9006">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40170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852160" cy="4017010"/>
                    </a:xfrm>
                    <a:prstGeom prst="rect">
                      <a:avLst/>
                    </a:prstGeom>
                  </pic:spPr>
                </pic:pic>
              </a:graphicData>
            </a:graphic>
          </wp:inline>
        </w:drawing>
      </w:r>
    </w:p>
    <w:p w14:paraId="10721606">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9.</w:t>
      </w:r>
      <w:r>
        <w:rPr>
          <w:rFonts w:ascii="Times New Roman" w:hAnsi="Times New Roman"/>
          <w:b/>
          <w:color w:val="000000" w:themeColor="text1"/>
          <w:sz w:val="24"/>
          <w14:textFill>
            <w14:solidFill>
              <w14:schemeClr w14:val="tx1"/>
            </w14:solidFill>
          </w14:textFill>
        </w:rPr>
        <w:t>2. Explanation of the diagram</w:t>
      </w:r>
    </w:p>
    <w:p w14:paraId="1A80EE60">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app.py.</w:t>
      </w:r>
      <w:r>
        <w:rPr>
          <w:rFonts w:ascii="Times New Roman" w:hAnsi="Times New Roman"/>
          <w:color w:val="000000" w:themeColor="text1"/>
          <w:sz w:val="24"/>
          <w:szCs w:val="24"/>
          <w14:textFill>
            <w14:solidFill>
              <w14:schemeClr w14:val="tx1"/>
            </w14:solidFill>
          </w14:textFill>
        </w:rPr>
        <w:t xml:space="preserve"> from flask import Flask, jsonify</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app = Flask(__name__)</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@app.get('/api/v1/results/&lt;student_id&gt;')</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def get_result(student_id):</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 xml:space="preserve">    demo = {'studentId': student_id, 'semester': 4,</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 xml:space="preserve">            'status': 'Published', 'cgpa': 8.2}</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 xml:space="preserve">    return jsonify(demo), 200</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if __name__ == '__main__':</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 xml:space="preserve">    app.run(host='0.0.0.0', port=5000)</w:t>
      </w:r>
    </w:p>
    <w:p w14:paraId="6FEE51FF">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requirements.txt.</w:t>
      </w:r>
      <w:r>
        <w:rPr>
          <w:rFonts w:ascii="Times New Roman" w:hAnsi="Times New Roman"/>
          <w:color w:val="000000" w:themeColor="text1"/>
          <w:sz w:val="24"/>
          <w:szCs w:val="24"/>
          <w14:textFill>
            <w14:solidFill>
              <w14:schemeClr w14:val="tx1"/>
            </w14:solidFill>
          </w14:textFill>
        </w:rPr>
        <w:t xml:space="preserve"> Flask==3.1.0</w:t>
      </w:r>
    </w:p>
    <w:p w14:paraId="1CC022C5">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Dockerfile.</w:t>
      </w:r>
      <w:r>
        <w:rPr>
          <w:rFonts w:ascii="Times New Roman" w:hAnsi="Times New Roman"/>
          <w:color w:val="000000" w:themeColor="text1"/>
          <w:sz w:val="24"/>
          <w:szCs w:val="24"/>
          <w14:textFill>
            <w14:solidFill>
              <w14:schemeClr w14:val="tx1"/>
            </w14:solidFill>
          </w14:textFill>
        </w:rPr>
        <w:t xml:space="preserve"> FROM python:3.12-slim</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WORKDIR /app</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COPY requirements.txt .</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RUN pip install --no-cache-dir -r requirements.txt</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COPY app.py .</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EXPOSE 5000</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CMD ["python", "app.py"]</w:t>
      </w:r>
    </w:p>
    <w:p w14:paraId="0F9CDC88">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Build and run commands.</w:t>
      </w:r>
      <w:r>
        <w:rPr>
          <w:rFonts w:ascii="Times New Roman" w:hAnsi="Times New Roman"/>
          <w:color w:val="000000" w:themeColor="text1"/>
          <w:sz w:val="24"/>
          <w:szCs w:val="24"/>
          <w14:textFill>
            <w14:solidFill>
              <w14:schemeClr w14:val="tx1"/>
            </w14:solidFill>
          </w14:textFill>
        </w:rPr>
        <w:t xml:space="preserve"> docker build -t university-results-api .</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docker run --name results-api -p 5000:5000 university-results-api</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Test in browser: http://localhost:5000/api/v1/results/10025</w:t>
      </w:r>
      <w:r>
        <w:rPr>
          <w:rFonts w:ascii="Times New Roman" w:hAnsi="Times New Roman"/>
          <w:color w:val="000000" w:themeColor="text1"/>
          <w:sz w:val="24"/>
          <w:szCs w:val="24"/>
          <w14:textFill>
            <w14:solidFill>
              <w14:schemeClr w14:val="tx1"/>
            </w14:solidFill>
          </w14:textFill>
        </w:rPr>
        <w:br w:type="textWrapping"/>
      </w:r>
      <w:r>
        <w:rPr>
          <w:rFonts w:ascii="Times New Roman" w:hAnsi="Times New Roman"/>
          <w:color w:val="000000" w:themeColor="text1"/>
          <w:sz w:val="24"/>
          <w:szCs w:val="24"/>
          <w14:textFill>
            <w14:solidFill>
              <w14:schemeClr w14:val="tx1"/>
            </w14:solidFill>
          </w14:textFill>
        </w:rPr>
        <w:t>Or use curl: curl http://localhost:5000/api/v1/results/10025</w:t>
      </w:r>
    </w:p>
    <w:p w14:paraId="426E585F">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0FB38788">
      <w:pPr>
        <w:spacing w:after="80" w:line="252" w:lineRule="auto"/>
        <w:rPr>
          <w:rFonts w:ascii="Times New Roman" w:hAnsi="Times New Roman"/>
          <w:color w:val="000000" w:themeColor="text1"/>
          <w:sz w:val="24"/>
          <w:szCs w:val="24"/>
          <w14:textFill>
            <w14:solidFill>
              <w14:schemeClr w14:val="tx1"/>
            </w14:solidFill>
          </w14:textFill>
        </w:rPr>
      </w:pPr>
    </w:p>
    <w:p w14:paraId="0DB0EC44">
      <w:pPr>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9.3. </w:t>
      </w:r>
      <w:r>
        <w:rPr>
          <w:rFonts w:ascii="Times New Roman" w:hAnsi="Times New Roman"/>
          <w:b/>
          <w:color w:val="000000" w:themeColor="text1"/>
          <w:sz w:val="24"/>
          <w14:textFill>
            <w14:solidFill>
              <w14:schemeClr w14:val="tx1"/>
            </w14:solidFill>
          </w14:textFill>
        </w:rPr>
        <w:t>Testing, evidence and limitations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462"/>
        <w:gridCol w:w="2020"/>
        <w:gridCol w:w="2511"/>
      </w:tblGrid>
      <w:tr w14:paraId="769E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AC46A6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Test</w:t>
            </w:r>
          </w:p>
        </w:tc>
        <w:tc>
          <w:tcPr>
            <w:tcW w:w="261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401E121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Action</w:t>
            </w:r>
          </w:p>
        </w:tc>
        <w:tc>
          <w:tcPr>
            <w:tcW w:w="261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2700B29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Expected result</w:t>
            </w:r>
          </w:p>
        </w:tc>
        <w:tc>
          <w:tcPr>
            <w:tcW w:w="261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A304F5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Evidence to capture</w:t>
            </w:r>
          </w:p>
        </w:tc>
      </w:tr>
      <w:tr w14:paraId="3687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2A8AD8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Build</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5169B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Run docker build command</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7474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Image builds without error</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B591F1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Terminal screenshot showing build completion</w:t>
            </w:r>
          </w:p>
        </w:tc>
      </w:tr>
      <w:tr w14:paraId="58CD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1EC4D4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Container</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D0205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Run docker ps</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AD5E3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Container is running and port 5000 is mapped</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083ADE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Docker Desktop or terminal screenshot</w:t>
            </w:r>
          </w:p>
        </w:tc>
      </w:tr>
      <w:tr w14:paraId="2C6A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9E63CA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Success case</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F0C70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GET /api/v1/results/10025</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09D4D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HTTP 200 with JSON result</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F6C455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Browser/Postman/curl response</w:t>
            </w:r>
          </w:p>
        </w:tc>
      </w:tr>
      <w:tr w14:paraId="14B3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D881F5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Failure case</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7EDE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GET /unknown/path</w:t>
            </w:r>
          </w:p>
        </w:tc>
        <w:tc>
          <w:tcPr>
            <w:tcW w:w="26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688BB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HTTP 404 Not Found</w:t>
            </w:r>
          </w:p>
        </w:tc>
        <w:tc>
          <w:tcPr>
            <w:tcW w:w="261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21A51F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Actual failure response screenshot</w:t>
            </w:r>
          </w:p>
        </w:tc>
      </w:tr>
      <w:tr w14:paraId="2CAD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A7A115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Reproducibility</w:t>
            </w:r>
          </w:p>
        </w:tc>
        <w:tc>
          <w:tcPr>
            <w:tcW w:w="261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ECF806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Stop and restart container</w:t>
            </w:r>
          </w:p>
        </w:tc>
        <w:tc>
          <w:tcPr>
            <w:tcW w:w="261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C75F81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 responds again after restart</w:t>
            </w:r>
          </w:p>
        </w:tc>
        <w:tc>
          <w:tcPr>
            <w:tcW w:w="2613"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406F537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Commands and output</w:t>
            </w:r>
          </w:p>
        </w:tc>
      </w:tr>
    </w:tbl>
    <w:p w14:paraId="556ABF80">
      <w:pPr>
        <w:spacing w:before="80" w:after="80"/>
        <w:rPr>
          <w:rFonts w:hint="default" w:ascii="Times New Roman" w:hAnsi="Times New Roman"/>
          <w:b/>
          <w:color w:val="000000" w:themeColor="text1"/>
          <w:sz w:val="24"/>
          <w:lang w:val="en-IN"/>
          <w14:textFill>
            <w14:solidFill>
              <w14:schemeClr w14:val="tx1"/>
            </w14:solidFill>
          </w14:textFill>
        </w:rPr>
      </w:pPr>
    </w:p>
    <w:p w14:paraId="45C741F1">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9.4</w:t>
      </w:r>
      <w:r>
        <w:rPr>
          <w:rFonts w:ascii="Times New Roman" w:hAnsi="Times New Roman"/>
          <w:b/>
          <w:color w:val="000000" w:themeColor="text1"/>
          <w:sz w:val="24"/>
          <w14:textFill>
            <w14:solidFill>
              <w14:schemeClr w14:val="tx1"/>
            </w14:solidFill>
          </w14:textFill>
        </w:rPr>
        <w:t>. Analysis and application to the university</w:t>
      </w:r>
    </w:p>
    <w:p w14:paraId="6E94D082">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PaaS extension.</w:t>
      </w:r>
      <w:r>
        <w:rPr>
          <w:rFonts w:ascii="Times New Roman" w:hAnsi="Times New Roman"/>
          <w:color w:val="000000" w:themeColor="text1"/>
          <w:sz w:val="24"/>
          <w:szCs w:val="24"/>
          <w14:textFill>
            <w14:solidFill>
              <w14:schemeClr w14:val="tx1"/>
            </w14:solidFill>
          </w14:textFill>
        </w:rPr>
        <w:t xml:space="preserve"> For a cloud deployment, create a managed web-app service in a selected provider, configure the application runtime or container image, set environment variables and deploy from a repository or registry. Configure HTTPS and restrict access to the database. Record the selected provider, region, service tier and deployment settings in the report.</w:t>
      </w:r>
    </w:p>
    <w:p w14:paraId="20A183F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Implementation evidence note.</w:t>
      </w:r>
      <w:r>
        <w:rPr>
          <w:rFonts w:ascii="Times New Roman" w:hAnsi="Times New Roman"/>
          <w:color w:val="000000" w:themeColor="text1"/>
          <w:sz w:val="24"/>
          <w:szCs w:val="24"/>
          <w14:textFill>
            <w14:solidFill>
              <w14:schemeClr w14:val="tx1"/>
            </w14:solidFill>
          </w14:textFill>
        </w:rPr>
        <w:t xml:space="preserve"> The assignment rubric asks for a running VM/container, PaaS or SaaS deployment, actual tests, API output and screenshots. This document supplies code and reproducible commands but cannot truthfully claim that the commands were executed on the student's computer. Insert genuine screenshots in the evidence table after running the steps. Include any errors faced and how they were corrected.</w:t>
      </w:r>
    </w:p>
    <w:p w14:paraId="17EDEB4F">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Security and improvement.</w:t>
      </w:r>
      <w:r>
        <w:rPr>
          <w:rFonts w:ascii="Times New Roman" w:hAnsi="Times New Roman"/>
          <w:color w:val="000000" w:themeColor="text1"/>
          <w:sz w:val="24"/>
          <w:szCs w:val="24"/>
          <w14:textFill>
            <w14:solidFill>
              <w14:schemeClr w14:val="tx1"/>
            </w14:solidFill>
          </w14:textFill>
        </w:rPr>
        <w:t xml:space="preserve"> The sample endpoint is intentionally simple and uses demonstration data. A production result service must use authentication, role-based permissions, input validation, HTTPS, rate limiting, structured logs, database parameterisation and privacy controls. Secrets must be stored in a secure configuration service, not committed to source code.</w:t>
      </w:r>
    </w:p>
    <w:p w14:paraId="4CC3ABAF">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the proof-of-concept demonstrates the basic deployment and API-testing method; genuine execution evidence must be added before submission.</w:t>
      </w:r>
    </w:p>
    <w:p w14:paraId="67E51CFD">
      <w:pPr>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66B43985">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10 – EVALUATION AND FINAL RECOMMENDATION</w:t>
      </w:r>
    </w:p>
    <w:p w14:paraId="0DAC7E50">
      <w:pPr>
        <w:spacing w:before="80" w:after="80"/>
        <w:rPr>
          <w:rFonts w:ascii="Times New Roman" w:hAnsi="Times New Roman"/>
          <w:b/>
          <w:color w:val="000000" w:themeColor="text1"/>
          <w:sz w:val="24"/>
          <w14:textFill>
            <w14:solidFill>
              <w14:schemeClr w14:val="tx1"/>
            </w14:solidFill>
          </w14:textFill>
        </w:rPr>
      </w:pPr>
    </w:p>
    <w:p w14:paraId="7C43CC12">
      <w:pPr>
        <w:spacing w:before="80" w:after="80"/>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1</w:t>
      </w:r>
      <w:r>
        <w:rPr>
          <w:rFonts w:hint="default" w:ascii="Times New Roman" w:hAnsi="Times New Roman"/>
          <w:b/>
          <w:color w:val="000000" w:themeColor="text1"/>
          <w:sz w:val="24"/>
          <w:lang w:val="en-IN"/>
          <w14:textFill>
            <w14:solidFill>
              <w14:schemeClr w14:val="tx1"/>
            </w14:solidFill>
          </w14:textFill>
        </w:rPr>
        <w:t>0</w:t>
      </w:r>
      <w:r>
        <w:rPr>
          <w:rFonts w:ascii="Times New Roman" w:hAnsi="Times New Roman"/>
          <w:b/>
          <w:color w:val="000000" w:themeColor="text1"/>
          <w:sz w:val="24"/>
          <w14:textFill>
            <w14:solidFill>
              <w14:schemeClr w14:val="tx1"/>
            </w14:solidFill>
          </w14:textFill>
        </w:rPr>
        <w:t>. Introduction and core concepts</w:t>
      </w:r>
    </w:p>
    <w:p w14:paraId="48DF4670">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Evaluation criteria.</w:t>
      </w:r>
      <w:r>
        <w:rPr>
          <w:rFonts w:ascii="Times New Roman" w:hAnsi="Times New Roman"/>
          <w:color w:val="000000" w:themeColor="text1"/>
          <w:sz w:val="24"/>
          <w:szCs w:val="24"/>
          <w14:textFill>
            <w14:solidFill>
              <w14:schemeClr w14:val="tx1"/>
            </w14:solidFill>
          </w14:textFill>
        </w:rPr>
        <w:t xml:space="preserve"> The final choice must balance three-year cost, scalability, availability, security and management effort. The university's current model has 12 physical servers, low average utilisation, high peak demand, slow procurement and no disaster recovery. A cloud migration changes much of the initial capital expenditure into recurring operating expenditure.</w:t>
      </w:r>
    </w:p>
    <w:p w14:paraId="1CD995FB">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Three alternatives.</w:t>
      </w:r>
      <w:r>
        <w:rPr>
          <w:rFonts w:ascii="Times New Roman" w:hAnsi="Times New Roman"/>
          <w:color w:val="000000" w:themeColor="text1"/>
          <w:sz w:val="24"/>
          <w:szCs w:val="24"/>
          <w14:textFill>
            <w14:solidFill>
              <w14:schemeClr w14:val="tx1"/>
            </w14:solidFill>
          </w14:textFill>
        </w:rPr>
        <w:t xml:space="preserve"> Option A: retain on-premises servers and purchase additional peak capacity. This gives direct control but requires capital investment, procurement lead time, power, cooling, maintenance and a separate DR site. Option B: migrate to IaaS. This reduces hardware ownership and supports legacy workloads, but the university still manages operating systems, middleware and applications. Option C: use a PaaS/SaaS-led mix. This reduces infrastructure administration and speeds scaling, but may increase subscription and integration costs and create vendor dependence.</w:t>
      </w:r>
    </w:p>
    <w:p w14:paraId="54150A58">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Cost assumptions.</w:t>
      </w:r>
      <w:r>
        <w:rPr>
          <w:rFonts w:ascii="Times New Roman" w:hAnsi="Times New Roman"/>
          <w:color w:val="000000" w:themeColor="text1"/>
          <w:sz w:val="24"/>
          <w:szCs w:val="24"/>
          <w14:textFill>
            <w14:solidFill>
              <w14:schemeClr w14:val="tx1"/>
            </w14:solidFill>
          </w14:textFill>
        </w:rPr>
        <w:t xml:space="preserve"> The following is an illustrative planning estimate in Indian rupees, not a provider quotation. Assume on-premises refresh, maintenance and DR cost ₹45 lakh per year; IaaS migration and operation cost ₹36 lakh per year; and a PaaS/SaaS-led mix costs ₹32 lakh per year. One-time migration costs are assumed to be ₹8 lakh for IaaS and ₹10 lakh for PaaS/SaaS. Actual cost depends on sizing, licences, storage, data transfer, support, taxes and negotiated discounts.</w:t>
      </w:r>
    </w:p>
    <w:p w14:paraId="29D945F5">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 fair comparison must use the same workload scope and service quality assumptions for all three alternatives. Include hardware refresh, maintenance, licences, staff effort, connectivity, backup, disaster recovery, cloud support, data transfer and migration.</w:t>
      </w:r>
    </w:p>
    <w:p w14:paraId="046BFB2B">
      <w:pPr>
        <w:spacing w:after="80" w:line="252"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lowest estimated total is not automatically the best decision if it cannot meet security, availability or application-compatibility requirements. Cost must be evaluated together with risk and operational capability.</w:t>
      </w:r>
    </w:p>
    <w:p w14:paraId="7ECF7C61">
      <w:pPr>
        <w:spacing w:after="80" w:line="252" w:lineRule="auto"/>
        <w:jc w:val="both"/>
        <w:rPr>
          <w:rFonts w:ascii="Times New Roman" w:hAnsi="Times New Roman"/>
          <w:color w:val="000000" w:themeColor="text1"/>
          <w:sz w:val="24"/>
          <w:szCs w:val="24"/>
          <w14:textFill>
            <w14:solidFill>
              <w14:schemeClr w14:val="tx1"/>
            </w14:solidFill>
          </w14:textFill>
        </w:rPr>
      </w:pPr>
    </w:p>
    <w:p w14:paraId="7E1406DD">
      <w:pPr>
        <w:jc w:val="both"/>
        <w:rPr>
          <w:color w:val="000000" w:themeColor="text1"/>
          <w14:textFill>
            <w14:solidFill>
              <w14:schemeClr w14:val="tx1"/>
            </w14:solidFill>
          </w14:textFill>
        </w:rPr>
      </w:pPr>
      <w:r>
        <w:rPr>
          <w:rFonts w:hint="default"/>
          <w:color w:val="000000" w:themeColor="text1"/>
          <w:sz w:val="24"/>
          <w:szCs w:val="24"/>
          <w:lang w:val="en-IN"/>
          <w14:textFill>
            <w14:solidFill>
              <w14:schemeClr w14:val="tx1"/>
            </w14:solidFill>
          </w14:textFill>
        </w:rPr>
        <w:drawing>
          <wp:inline distT="0" distB="0" distL="114300" distR="114300">
            <wp:extent cx="5531485" cy="3126740"/>
            <wp:effectExtent l="0" t="0" r="5715" b="10160"/>
            <wp:docPr id="23" name="Picture 23" descr="Task_10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sk_10_Cloud_Computing"/>
                    <pic:cNvPicPr>
                      <a:picLocks noChangeAspect="1"/>
                    </pic:cNvPicPr>
                  </pic:nvPicPr>
                  <pic:blipFill>
                    <a:blip r:embed="rId25"/>
                    <a:stretch>
                      <a:fillRect/>
                    </a:stretch>
                  </pic:blipFill>
                  <pic:spPr>
                    <a:xfrm>
                      <a:off x="0" y="0"/>
                      <a:ext cx="5531485" cy="3126740"/>
                    </a:xfrm>
                    <a:prstGeom prst="rect">
                      <a:avLst/>
                    </a:prstGeom>
                  </pic:spPr>
                </pic:pic>
              </a:graphicData>
            </a:graphic>
          </wp:inline>
        </w:drawing>
      </w:r>
      <w:r>
        <w:rPr>
          <w:color w:val="000000" w:themeColor="text1"/>
          <w:sz w:val="24"/>
          <w:szCs w:val="24"/>
          <w14:textFill>
            <w14:solidFill>
              <w14:schemeClr w14:val="tx1"/>
            </w14:solidFill>
          </w14:textFill>
        </w:rPr>
        <w:br w:type="page"/>
      </w:r>
    </w:p>
    <w:p w14:paraId="4FE26A9D">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10.1. </w:t>
      </w:r>
      <w:r>
        <w:rPr>
          <w:rFonts w:ascii="Times New Roman" w:hAnsi="Times New Roman"/>
          <w:b/>
          <w:color w:val="000000" w:themeColor="text1"/>
          <w:sz w:val="24"/>
          <w14:textFill>
            <w14:solidFill>
              <w14:schemeClr w14:val="tx1"/>
            </w14:solidFill>
          </w14:textFill>
        </w:rPr>
        <w:t>Three-year cost comparison and migration flow</w:t>
      </w:r>
    </w:p>
    <w:p w14:paraId="33E7FD69">
      <w:pPr>
        <w:spacing w:before="80" w:after="80"/>
        <w:rPr>
          <w:rFonts w:ascii="Times New Roman" w:hAnsi="Times New Roman"/>
          <w:b/>
          <w:color w:val="000000" w:themeColor="text1"/>
          <w:sz w:val="24"/>
          <w14:textFill>
            <w14:solidFill>
              <w14:schemeClr w14:val="tx1"/>
            </w14:solidFill>
          </w14:textFill>
        </w:rPr>
      </w:pPr>
    </w:p>
    <w:p w14:paraId="6C599945">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011545" cy="3945890"/>
            <wp:effectExtent l="0" t="0" r="825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011545" cy="3945890"/>
                    </a:xfrm>
                    <a:prstGeom prst="rect">
                      <a:avLst/>
                    </a:prstGeom>
                  </pic:spPr>
                </pic:pic>
              </a:graphicData>
            </a:graphic>
          </wp:inline>
        </w:drawing>
      </w:r>
    </w:p>
    <w:p w14:paraId="68BB66DF">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10.</w:t>
      </w:r>
      <w:r>
        <w:rPr>
          <w:rFonts w:ascii="Times New Roman" w:hAnsi="Times New Roman"/>
          <w:b/>
          <w:color w:val="000000" w:themeColor="text1"/>
          <w:sz w:val="24"/>
          <w14:textFill>
            <w14:solidFill>
              <w14:schemeClr w14:val="tx1"/>
            </w14:solidFill>
          </w14:textFill>
        </w:rPr>
        <w:t>2. Explanation of the diagram</w:t>
      </w:r>
    </w:p>
    <w:p w14:paraId="726C4814">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Illustrative three-year calculation.</w:t>
      </w:r>
      <w:r>
        <w:rPr>
          <w:rFonts w:ascii="Times New Roman" w:hAnsi="Times New Roman"/>
          <w:color w:val="000000" w:themeColor="text1"/>
          <w:sz w:val="24"/>
          <w:szCs w:val="24"/>
          <w14:textFill>
            <w14:solidFill>
              <w14:schemeClr w14:val="tx1"/>
            </w14:solidFill>
          </w14:textFill>
        </w:rPr>
        <w:t xml:space="preserve"> On-premises: ₹45 lakh × 3 = ₹135 lakh. IaaS: ₹36 lakh × 3 + ₹8 lakh migration = ₹116 lakh. PaaS/SaaS-led: ₹32 lakh × 3 + ₹10 lakh migration = ₹106 lakh. Under these assumptions, PaaS/SaaS-led has the lowest estimated three-year total. The comparison excludes exceptional growth, major application redevelopment and contract-specific charges; it must be recalculated using provider pricing and measured workloads.</w:t>
      </w:r>
    </w:p>
    <w:p w14:paraId="6475DFE1">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Migration roadmap.</w:t>
      </w:r>
      <w:r>
        <w:rPr>
          <w:rFonts w:ascii="Times New Roman" w:hAnsi="Times New Roman"/>
          <w:color w:val="000000" w:themeColor="text1"/>
          <w:sz w:val="24"/>
          <w:szCs w:val="24"/>
          <w14:textFill>
            <w14:solidFill>
              <w14:schemeClr w14:val="tx1"/>
            </w14:solidFill>
          </w14:textFill>
        </w:rPr>
        <w:t xml:space="preserve"> Phase 1: inventory applications, data, dependencies and security requirements. Phase 2: establish identity, network connectivity, logging, backup and governance. Phase 3: pilot a low-risk web service. Phase 4: migrate LMS, library and email where SaaS/PaaS fit. Phase 5: migrate SIS and examination workloads after performance and security testing. Phase 6: validate DR, optimise cost and retire unused servers.</w:t>
      </w:r>
    </w:p>
    <w:p w14:paraId="05660872">
      <w:pPr>
        <w:spacing w:after="80" w:line="252" w:lineRule="auto"/>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60102E6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7FABF35">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10.3. </w:t>
      </w:r>
      <w:r>
        <w:rPr>
          <w:rFonts w:ascii="Times New Roman" w:hAnsi="Times New Roman"/>
          <w:b/>
          <w:color w:val="000000" w:themeColor="text1"/>
          <w:sz w:val="24"/>
          <w14:textFill>
            <w14:solidFill>
              <w14:schemeClr w14:val="tx1"/>
            </w14:solidFill>
          </w14:textFill>
        </w:rPr>
        <w:t>Comparison, risks and final recommendation</w:t>
      </w:r>
    </w:p>
    <w:p w14:paraId="5CC15806">
      <w:pPr>
        <w:spacing w:before="80" w:after="80"/>
        <w:rPr>
          <w:rFonts w:ascii="Times New Roman" w:hAnsi="Times New Roman"/>
          <w:b/>
          <w:color w:val="000000" w:themeColor="text1"/>
          <w:sz w:val="24"/>
          <w14:textFill>
            <w14:solidFill>
              <w14:schemeClr w14:val="tx1"/>
            </w14:solidFill>
          </w14:textFill>
        </w:rPr>
      </w:pPr>
    </w:p>
    <w:tbl>
      <w:tblPr>
        <w:tblStyle w:val="18"/>
        <w:tblW w:w="92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2303"/>
        <w:gridCol w:w="2350"/>
        <w:gridCol w:w="2340"/>
      </w:tblGrid>
      <w:tr w14:paraId="54A5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2285"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0060C3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Factor</w:t>
            </w:r>
          </w:p>
        </w:tc>
        <w:tc>
          <w:tcPr>
            <w:tcW w:w="230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559C206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On-premises</w:t>
            </w:r>
          </w:p>
        </w:tc>
        <w:tc>
          <w:tcPr>
            <w:tcW w:w="235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2829D5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IaaS-based</w:t>
            </w:r>
          </w:p>
        </w:tc>
        <w:tc>
          <w:tcPr>
            <w:tcW w:w="234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41ADA03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PaaS/SaaS-led</w:t>
            </w:r>
          </w:p>
        </w:tc>
      </w:tr>
      <w:tr w14:paraId="5347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228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99CDA5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Cost pattern</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CB6B8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High CapEx + local operations</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D539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Recurring infrastructure charges + admin</w:t>
            </w:r>
          </w:p>
        </w:tc>
        <w:tc>
          <w:tcPr>
            <w:tcW w:w="234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DAEA44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Subscriptions / managed-service charges</w:t>
            </w:r>
          </w:p>
        </w:tc>
      </w:tr>
      <w:tr w14:paraId="0A76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228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012C02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Scalability</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48A72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Requires procurement</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CC515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Flexible VM scaling</w:t>
            </w:r>
          </w:p>
        </w:tc>
        <w:tc>
          <w:tcPr>
            <w:tcW w:w="234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4E19DAA">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Managed scaling for supported services</w:t>
            </w:r>
          </w:p>
        </w:tc>
      </w:tr>
      <w:tr w14:paraId="75EE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228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3D82E2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Availability</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ED9EF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University must build redundancy</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DBDB26">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Cloud zones available; design required</w:t>
            </w:r>
          </w:p>
        </w:tc>
        <w:tc>
          <w:tcPr>
            <w:tcW w:w="234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AE6D34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Provider manages much of platform availability</w:t>
            </w:r>
          </w:p>
        </w:tc>
      </w:tr>
      <w:tr w14:paraId="1CA8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228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AFF365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Security</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90BF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Direct control; local skills needed</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C380EE">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Shared responsibility</w:t>
            </w:r>
          </w:p>
        </w:tc>
        <w:tc>
          <w:tcPr>
            <w:tcW w:w="234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1C2766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Configuration and data governance remain essential</w:t>
            </w:r>
          </w:p>
        </w:tc>
      </w:tr>
      <w:tr w14:paraId="3E16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2285"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162264FC">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Effort</w:t>
            </w:r>
          </w:p>
        </w:tc>
        <w:tc>
          <w:tcPr>
            <w:tcW w:w="230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270E02D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High hardware and patching effort</w:t>
            </w:r>
          </w:p>
        </w:tc>
        <w:tc>
          <w:tcPr>
            <w:tcW w:w="235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11892EBF">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OS and application administration</w:t>
            </w:r>
          </w:p>
        </w:tc>
        <w:tc>
          <w:tcPr>
            <w:tcW w:w="234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911A82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Lower infrastructure maintenance</w:t>
            </w:r>
          </w:p>
        </w:tc>
      </w:tr>
    </w:tbl>
    <w:p w14:paraId="281BC8E7">
      <w:pPr>
        <w:spacing w:before="80" w:after="80"/>
        <w:rPr>
          <w:rFonts w:hint="default" w:ascii="Times New Roman" w:hAnsi="Times New Roman"/>
          <w:b/>
          <w:color w:val="000000" w:themeColor="text1"/>
          <w:sz w:val="24"/>
          <w:lang w:val="en-IN"/>
          <w14:textFill>
            <w14:solidFill>
              <w14:schemeClr w14:val="tx1"/>
            </w14:solidFill>
          </w14:textFill>
        </w:rPr>
      </w:pPr>
    </w:p>
    <w:p w14:paraId="56B70986">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10.4</w:t>
      </w:r>
      <w:r>
        <w:rPr>
          <w:rFonts w:ascii="Times New Roman" w:hAnsi="Times New Roman"/>
          <w:b/>
          <w:color w:val="000000" w:themeColor="text1"/>
          <w:sz w:val="24"/>
          <w14:textFill>
            <w14:solidFill>
              <w14:schemeClr w14:val="tx1"/>
            </w14:solidFill>
          </w14:textFill>
        </w:rPr>
        <w:t>. Analysis and application to the university</w:t>
      </w:r>
    </w:p>
    <w:p w14:paraId="747E8100">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Main risks and mitigation.</w:t>
      </w:r>
      <w:r>
        <w:rPr>
          <w:rFonts w:ascii="Times New Roman" w:hAnsi="Times New Roman"/>
          <w:color w:val="000000" w:themeColor="text1"/>
          <w:sz w:val="24"/>
          <w:szCs w:val="24"/>
          <w14:textFill>
            <w14:solidFill>
              <w14:schemeClr w14:val="tx1"/>
            </w14:solidFill>
          </w14:textFill>
        </w:rPr>
        <w:t xml:space="preserve"> Vendor lock-in: use documented APIs, standard data formats and tested export procedures. Data privacy: encrypt data, apply least privilege and review data location and contracts. Downtime: deploy across zones, monitor dependencies and test DR. Skills gap: train administrators and retain clear operating procedures. Cost growth: set budgets, alerts, tagging and periodic rightsizing.</w:t>
      </w:r>
    </w:p>
    <w:p w14:paraId="53F9586F">
      <w:pPr>
        <w:spacing w:after="80" w:line="252" w:lineRule="auto"/>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Final recommendation.</w:t>
      </w:r>
      <w:r>
        <w:rPr>
          <w:rFonts w:ascii="Times New Roman" w:hAnsi="Times New Roman"/>
          <w:color w:val="000000" w:themeColor="text1"/>
          <w:sz w:val="24"/>
          <w:szCs w:val="24"/>
          <w14:textFill>
            <w14:solidFill>
              <w14:schemeClr w14:val="tx1"/>
            </w14:solidFill>
          </w14:textFill>
        </w:rPr>
        <w:t xml:space="preserve"> Choose a hybrid, PaaS/SaaS-led cloud solution with IaaS retained temporarily for legacy SIS components. This provides a practical transition path, reduces hardware ownership and supports elastic web services. The illustrative cost model favours PaaS/SaaS-led adoption, but final procurement must use measured workload data and binding provider quotations.</w:t>
      </w:r>
    </w:p>
    <w:p w14:paraId="4AE4E0F1">
      <w:pPr>
        <w:spacing w:after="80" w:line="252" w:lineRule="auto"/>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a phased hybrid, PaaS/SaaS-led solution is recommended, subject to provider quotations, workload measurement and security review.</w:t>
      </w:r>
    </w:p>
    <w:p w14:paraId="46AE0D71">
      <w:pPr>
        <w:jc w:val="right"/>
        <w:rPr>
          <w:color w:val="000000" w:themeColor="text1"/>
          <w14:textFill>
            <w14:solidFill>
              <w14:schemeClr w14:val="tx1"/>
            </w14:solidFill>
          </w14:textFill>
        </w:rPr>
      </w:pPr>
    </w:p>
    <w:p w14:paraId="1090FD7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4051F2E">
      <w:pPr>
        <w:jc w:val="center"/>
        <w:rPr>
          <w:color w:val="000000" w:themeColor="text1"/>
          <w:u w:val="single"/>
          <w14:textFill>
            <w14:solidFill>
              <w14:schemeClr w14:val="tx1"/>
            </w14:solidFill>
          </w14:textFill>
        </w:rPr>
      </w:pPr>
      <w:r>
        <w:rPr>
          <w:rFonts w:ascii="Times New Roman" w:hAnsi="Times New Roman"/>
          <w:b/>
          <w:color w:val="000000" w:themeColor="text1"/>
          <w:sz w:val="28"/>
          <w:u w:val="single"/>
          <w14:textFill>
            <w14:solidFill>
              <w14:schemeClr w14:val="tx1"/>
            </w14:solidFill>
          </w14:textFill>
        </w:rPr>
        <w:t xml:space="preserve"> 11 – DAY-4 DESIGN CHALLENGE: RE-EVALUATE AND ADAPT</w:t>
      </w:r>
    </w:p>
    <w:p w14:paraId="4B57B34A">
      <w:pPr>
        <w:spacing w:before="80" w:after="80"/>
        <w:rPr>
          <w:rFonts w:hint="default" w:ascii="Times New Roman" w:hAnsi="Times New Roman"/>
          <w:b/>
          <w:color w:val="000000" w:themeColor="text1"/>
          <w:sz w:val="24"/>
          <w:lang w:val="en-IN"/>
          <w14:textFill>
            <w14:solidFill>
              <w14:schemeClr w14:val="tx1"/>
            </w14:solidFill>
          </w14:textFill>
        </w:rPr>
      </w:pPr>
    </w:p>
    <w:p w14:paraId="2FD8C35A">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w:t>
      </w:r>
      <w:r>
        <w:rPr>
          <w:rFonts w:ascii="Times New Roman" w:hAnsi="Times New Roman"/>
          <w:b/>
          <w:color w:val="000000" w:themeColor="text1"/>
          <w:sz w:val="24"/>
          <w14:textFill>
            <w14:solidFill>
              <w14:schemeClr w14:val="tx1"/>
            </w14:solidFill>
          </w14:textFill>
        </w:rPr>
        <w:t>1. Introduction and core concepts</w:t>
      </w:r>
    </w:p>
    <w:p w14:paraId="5CF3065D">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Changed requirements.</w:t>
      </w:r>
      <w:r>
        <w:rPr>
          <w:rFonts w:ascii="Times New Roman" w:hAnsi="Times New Roman"/>
          <w:color w:val="000000" w:themeColor="text1"/>
          <w:sz w:val="24"/>
          <w:szCs w:val="24"/>
          <w14:textFill>
            <w14:solidFill>
              <w14:schemeClr w14:val="tx1"/>
            </w14:solidFill>
          </w14:textFill>
        </w:rPr>
        <w:t xml:space="preserve"> The university now plans a mobile app and will expose student-record and fee-payment services to 40 affiliated colleges. Expected load is 10 times the current peak, availability must be 99.9%, and the operating budget is limited. The original architecture must therefore be reviewed for capacity, security, multi-tenancy, availability and cost.</w:t>
      </w:r>
    </w:p>
    <w:p w14:paraId="2E4EC764">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Impact on assumptions.</w:t>
      </w:r>
      <w:r>
        <w:rPr>
          <w:rFonts w:ascii="Times New Roman" w:hAnsi="Times New Roman"/>
          <w:color w:val="000000" w:themeColor="text1"/>
          <w:sz w:val="24"/>
          <w:szCs w:val="24"/>
          <w14:textFill>
            <w14:solidFill>
              <w14:schemeClr w14:val="tx1"/>
            </w14:solidFill>
          </w14:textFill>
        </w:rPr>
        <w:t xml:space="preserve"> The number of external clients increases, traffic becomes less predictable and sensitive student/fee services are exposed beyond the university's own campuses. API design becomes critical because the mobile app and colleges need stable, controlled interfaces. Multi-tenancy means each college must access only its own permitted records, while university administrators may have broader authorised roles. Authentication alone is not sufficient; every request must enforce tenant-level authorisation.</w:t>
      </w:r>
    </w:p>
    <w:p w14:paraId="610CAB51">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Decision.</w:t>
      </w:r>
      <w:r>
        <w:rPr>
          <w:rFonts w:ascii="Times New Roman" w:hAnsi="Times New Roman"/>
          <w:color w:val="000000" w:themeColor="text1"/>
          <w:sz w:val="24"/>
          <w:szCs w:val="24"/>
          <w14:textFill>
            <w14:solidFill>
              <w14:schemeClr w14:val="tx1"/>
            </w14:solidFill>
          </w14:textFill>
        </w:rPr>
        <w:t xml:space="preserve"> Modify the original design rather than retain it unchanged or replace it completely. Keep the hybrid-cloud foundation, but strengthen the API gateway, use horizontally scalable containers or PaaS services, introduce tenant-aware authorisation, deploy critical services across multiple availability zones and maintain a separate disaster-recovery region.</w:t>
      </w:r>
    </w:p>
    <w:p w14:paraId="046BE9FF">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new requirement changes both scale and trust boundaries. Forty colleges are external tenants, so the system must prevent one college from accessing another college's records even if a user changes a URL or request parameter.</w:t>
      </w:r>
    </w:p>
    <w:p w14:paraId="12C2FCA3">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Availability is an end-to-end property. A resilient application tier cannot meet the target if the identity provider, database, DNS or payment integration remains a single point of failure.</w:t>
      </w:r>
    </w:p>
    <w:p w14:paraId="241F02CB">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7B2531BF">
      <w:pPr>
        <w:spacing w:before="80" w:after="80"/>
        <w:rPr>
          <w:rFonts w:ascii="Times New Roman" w:hAnsi="Times New Roman"/>
          <w:b/>
          <w:color w:val="000000" w:themeColor="text1"/>
          <w:sz w:val="24"/>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11.1. </w:t>
      </w:r>
      <w:r>
        <w:rPr>
          <w:rFonts w:ascii="Times New Roman" w:hAnsi="Times New Roman"/>
          <w:b/>
          <w:color w:val="000000" w:themeColor="text1"/>
          <w:sz w:val="24"/>
          <w14:textFill>
            <w14:solidFill>
              <w14:schemeClr w14:val="tx1"/>
            </w14:solidFill>
          </w14:textFill>
        </w:rPr>
        <w:t>Revised architecture for 10× load and 99.9% availability</w:t>
      </w:r>
    </w:p>
    <w:p w14:paraId="1D6C1FE9">
      <w:pPr>
        <w:spacing w:before="80" w:after="80"/>
        <w:rPr>
          <w:rFonts w:ascii="Times New Roman" w:hAnsi="Times New Roman"/>
          <w:b/>
          <w:color w:val="000000" w:themeColor="text1"/>
          <w:sz w:val="24"/>
          <w14:textFill>
            <w14:solidFill>
              <w14:schemeClr w14:val="tx1"/>
            </w14:solidFill>
          </w14:textFill>
        </w:rPr>
      </w:pPr>
    </w:p>
    <w:p w14:paraId="3869E53E">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925570"/>
            <wp:effectExtent l="0" t="0" r="254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5852160" cy="3925570"/>
                    </a:xfrm>
                    <a:prstGeom prst="rect">
                      <a:avLst/>
                    </a:prstGeom>
                  </pic:spPr>
                </pic:pic>
              </a:graphicData>
            </a:graphic>
          </wp:inline>
        </w:drawing>
      </w:r>
    </w:p>
    <w:p w14:paraId="41CBC27D">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11.</w:t>
      </w:r>
      <w:r>
        <w:rPr>
          <w:rFonts w:ascii="Times New Roman" w:hAnsi="Times New Roman"/>
          <w:b/>
          <w:color w:val="000000" w:themeColor="text1"/>
          <w:sz w:val="24"/>
          <w14:textFill>
            <w14:solidFill>
              <w14:schemeClr w14:val="tx1"/>
            </w14:solidFill>
          </w14:textFill>
        </w:rPr>
        <w:t>2. Explanation of the diagram</w:t>
      </w:r>
    </w:p>
    <w:p w14:paraId="1F56641D">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Capacity strategy.</w:t>
      </w:r>
      <w:r>
        <w:rPr>
          <w:rFonts w:ascii="Times New Roman" w:hAnsi="Times New Roman"/>
          <w:color w:val="000000" w:themeColor="text1"/>
          <w:sz w:val="24"/>
          <w:szCs w:val="24"/>
          <w14:textFill>
            <w14:solidFill>
              <w14:schemeClr w14:val="tx1"/>
            </w14:solidFill>
          </w14:textFill>
        </w:rPr>
        <w:t xml:space="preserve"> If the current peak request rate is represented by P, the revised expected peak is 10P. The application tier should be load-tested at or above 10P with a safety margin. Use horizontal scaling, caching for suitable read-only data, asynchronous queues for notifications and background work, and database connection pooling. Do not assume that adding ten times as many web servers will automatically make the database or payment provider ten times faster.</w:t>
      </w:r>
    </w:p>
    <w:p w14:paraId="37ECC42A">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99.9% availability.</w:t>
      </w:r>
      <w:r>
        <w:rPr>
          <w:rFonts w:ascii="Times New Roman" w:hAnsi="Times New Roman"/>
          <w:color w:val="000000" w:themeColor="text1"/>
          <w:sz w:val="24"/>
          <w:szCs w:val="24"/>
          <w14:textFill>
            <w14:solidFill>
              <w14:schemeClr w14:val="tx1"/>
            </w14:solidFill>
          </w14:textFill>
        </w:rPr>
        <w:t xml:space="preserve"> A 99.9% annual availability target permits approximately 0.1% downtime: 8.76 hours in a 365-day year. Multi-zone deployment reduces the risk of a single-zone failure, but the end-to-end service also depends on identity, DNS, database, network and payment services. Define service-level objectives, monitor latency and error rates, and test recovery procedures.</w:t>
      </w:r>
    </w:p>
    <w:p w14:paraId="71A9BE85">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Multi-tenant security.</w:t>
      </w:r>
      <w:r>
        <w:rPr>
          <w:rFonts w:ascii="Times New Roman" w:hAnsi="Times New Roman"/>
          <w:color w:val="000000" w:themeColor="text1"/>
          <w:sz w:val="24"/>
          <w:szCs w:val="24"/>
          <w14:textFill>
            <w14:solidFill>
              <w14:schemeClr w14:val="tx1"/>
            </w14:solidFill>
          </w14:textFill>
        </w:rPr>
        <w:t xml:space="preserve"> Use a trusted tenant identifier derived from the authenticated identity, not from an unverified request parameter. Enforce tenant scope in every API and database query. Separate college roles, apply rate limits per tenant, log administrative access and test for cross-tenant data leakage. Fee-payment operations require idempotency, signed provider callbacks and reconciliation.</w:t>
      </w:r>
    </w:p>
    <w:p w14:paraId="5B25FBFF">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Process interpretation: Each stage has a defined responsibility. Requests enter through a controlled network interface, are checked and processed by the relevant service, and reach stored information only through authorised application logic. The response then returns to the original user or calling application.</w:t>
      </w:r>
    </w:p>
    <w:p w14:paraId="3B33FFE1">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2F6EC6A6">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 xml:space="preserve">11.3. </w:t>
      </w:r>
      <w:r>
        <w:rPr>
          <w:rFonts w:ascii="Times New Roman" w:hAnsi="Times New Roman"/>
          <w:b/>
          <w:color w:val="000000" w:themeColor="text1"/>
          <w:sz w:val="24"/>
          <w14:textFill>
            <w14:solidFill>
              <w14:schemeClr w14:val="tx1"/>
            </w14:solidFill>
          </w14:textFill>
        </w:rPr>
        <w:t>Evaluation, trade-offs and evidence-based defence</w:t>
      </w:r>
    </w:p>
    <w:tbl>
      <w:tblPr>
        <w:tblStyle w:val="18"/>
        <w:tblW w:w="92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0"/>
        <w:gridCol w:w="3123"/>
        <w:gridCol w:w="3115"/>
      </w:tblGrid>
      <w:tr w14:paraId="7985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3040"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8A9E9D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Area</w:t>
            </w:r>
          </w:p>
        </w:tc>
        <w:tc>
          <w:tcPr>
            <w:tcW w:w="3123"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62302BF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Original design</w:t>
            </w:r>
          </w:p>
        </w:tc>
        <w:tc>
          <w:tcPr>
            <w:tcW w:w="3115"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54B0552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Revised design</w:t>
            </w:r>
          </w:p>
        </w:tc>
      </w:tr>
      <w:tr w14:paraId="1F80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04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4B8F322">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Traffic</w:t>
            </w:r>
          </w:p>
        </w:tc>
        <w:tc>
          <w:tcPr>
            <w:tcW w:w="31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EC7D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Normal peak assumptions</w:t>
            </w:r>
          </w:p>
        </w:tc>
        <w:tc>
          <w:tcPr>
            <w:tcW w:w="311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656A19D">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Designed and tested for 10× current peak</w:t>
            </w:r>
          </w:p>
        </w:tc>
      </w:tr>
      <w:tr w14:paraId="1B7F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04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E1B5AD0">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Application tier</w:t>
            </w:r>
          </w:p>
        </w:tc>
        <w:tc>
          <w:tcPr>
            <w:tcW w:w="31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F3979">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Auto-scaled web/application instances</w:t>
            </w:r>
          </w:p>
        </w:tc>
        <w:tc>
          <w:tcPr>
            <w:tcW w:w="311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133348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Container/PaaS horizontal scaling + queues and caching</w:t>
            </w:r>
          </w:p>
        </w:tc>
      </w:tr>
      <w:tr w14:paraId="3A16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04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D998FB3">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 access</w:t>
            </w:r>
          </w:p>
        </w:tc>
        <w:tc>
          <w:tcPr>
            <w:tcW w:w="31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2302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General API layer</w:t>
            </w:r>
          </w:p>
        </w:tc>
        <w:tc>
          <w:tcPr>
            <w:tcW w:w="311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99C86F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API gateway with per-tenant identity, quotas and policies</w:t>
            </w:r>
          </w:p>
        </w:tc>
      </w:tr>
      <w:tr w14:paraId="4FBB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04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B00B59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Availability</w:t>
            </w:r>
          </w:p>
        </w:tc>
        <w:tc>
          <w:tcPr>
            <w:tcW w:w="31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63594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Multi-zone and backup proposed</w:t>
            </w:r>
          </w:p>
        </w:tc>
        <w:tc>
          <w:tcPr>
            <w:tcW w:w="311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AC1A705">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Multi-zone critical services + tested cross-region DR</w:t>
            </w:r>
          </w:p>
        </w:tc>
      </w:tr>
      <w:tr w14:paraId="0A9C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04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7DAE56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Security</w:t>
            </w:r>
          </w:p>
        </w:tc>
        <w:tc>
          <w:tcPr>
            <w:tcW w:w="31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E1848">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Role-based access and encryption</w:t>
            </w:r>
          </w:p>
        </w:tc>
        <w:tc>
          <w:tcPr>
            <w:tcW w:w="311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B27EA97">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Tenant-aware authorisation, isolation tests and audit</w:t>
            </w:r>
          </w:p>
        </w:tc>
      </w:tr>
      <w:tr w14:paraId="0E6A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jc w:val="center"/>
        </w:trPr>
        <w:tc>
          <w:tcPr>
            <w:tcW w:w="3040"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CDE5EE4">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Cost</w:t>
            </w:r>
          </w:p>
        </w:tc>
        <w:tc>
          <w:tcPr>
            <w:tcW w:w="3123"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B9DC5BB">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Baseline cloud operating cost</w:t>
            </w:r>
          </w:p>
        </w:tc>
        <w:tc>
          <w:tcPr>
            <w:tcW w:w="3115"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464FF1D1">
            <w:pPr>
              <w:spacing w:after="20" w:line="240" w:lineRule="auto"/>
              <w:rPr>
                <w:b w:val="0"/>
                <w:color w:val="000000" w:themeColor="text1"/>
                <w:sz w:val="24"/>
                <w:szCs w:val="24"/>
                <w14:textFill>
                  <w14:solidFill>
                    <w14:schemeClr w14:val="tx1"/>
                  </w14:solidFill>
                </w14:textFill>
              </w:rPr>
            </w:pPr>
            <w:r>
              <w:rPr>
                <w:rFonts w:ascii="Times New Roman" w:hAnsi="Times New Roman"/>
                <w:b w:val="0"/>
                <w:color w:val="000000" w:themeColor="text1"/>
                <w:sz w:val="24"/>
                <w:szCs w:val="24"/>
                <w14:textFill>
                  <w14:solidFill>
                    <w14:schemeClr w14:val="tx1"/>
                  </w14:solidFill>
                </w14:textFill>
              </w:rPr>
              <w:t>Autoscaling, budgets, quotas and workload optimisation</w:t>
            </w:r>
          </w:p>
        </w:tc>
      </w:tr>
    </w:tbl>
    <w:p w14:paraId="4C9B85AE">
      <w:pPr>
        <w:spacing w:before="80" w:after="80"/>
        <w:rPr>
          <w:rFonts w:hint="default" w:ascii="Times New Roman" w:hAnsi="Times New Roman"/>
          <w:b/>
          <w:color w:val="000000" w:themeColor="text1"/>
          <w:sz w:val="24"/>
          <w:lang w:val="en-IN"/>
          <w14:textFill>
            <w14:solidFill>
              <w14:schemeClr w14:val="tx1"/>
            </w14:solidFill>
          </w14:textFill>
        </w:rPr>
      </w:pPr>
    </w:p>
    <w:p w14:paraId="110C7B9D">
      <w:pPr>
        <w:spacing w:before="80" w:after="80"/>
        <w:rPr>
          <w:color w:val="000000" w:themeColor="text1"/>
          <w14:textFill>
            <w14:solidFill>
              <w14:schemeClr w14:val="tx1"/>
            </w14:solidFill>
          </w14:textFill>
        </w:rPr>
      </w:pPr>
      <w:r>
        <w:rPr>
          <w:rFonts w:hint="default" w:ascii="Times New Roman" w:hAnsi="Times New Roman"/>
          <w:b/>
          <w:color w:val="000000" w:themeColor="text1"/>
          <w:sz w:val="24"/>
          <w:lang w:val="en-IN"/>
          <w14:textFill>
            <w14:solidFill>
              <w14:schemeClr w14:val="tx1"/>
            </w14:solidFill>
          </w14:textFill>
        </w:rPr>
        <w:t>11.4</w:t>
      </w:r>
      <w:r>
        <w:rPr>
          <w:rFonts w:ascii="Times New Roman" w:hAnsi="Times New Roman"/>
          <w:b/>
          <w:color w:val="000000" w:themeColor="text1"/>
          <w:sz w:val="24"/>
          <w14:textFill>
            <w14:solidFill>
              <w14:schemeClr w14:val="tx1"/>
            </w14:solidFill>
          </w14:textFill>
        </w:rPr>
        <w:t>. Analysis and application to the university</w:t>
      </w:r>
    </w:p>
    <w:p w14:paraId="730874BA">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Cost and trade-offs.</w:t>
      </w:r>
      <w:r>
        <w:rPr>
          <w:rFonts w:ascii="Times New Roman" w:hAnsi="Times New Roman"/>
          <w:color w:val="000000" w:themeColor="text1"/>
          <w:sz w:val="24"/>
          <w:szCs w:val="24"/>
          <w14:textFill>
            <w14:solidFill>
              <w14:schemeClr w14:val="tx1"/>
            </w14:solidFill>
          </w14:textFill>
        </w:rPr>
        <w:t xml:space="preserve"> The revised design may cost more during peak traffic because compute, database and network usage increase. A limited budget can be protected through autoscaling, per-tenant quotas, caching, scheduled non-production shutdowns, reserved capacity for predictable baseline workloads and cost alerts. More managed services reduce operational effort but may increase vendor lock-in and service charges.</w:t>
      </w:r>
    </w:p>
    <w:p w14:paraId="736C6102">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Validation plan.</w:t>
      </w:r>
      <w:r>
        <w:rPr>
          <w:rFonts w:ascii="Times New Roman" w:hAnsi="Times New Roman"/>
          <w:color w:val="000000" w:themeColor="text1"/>
          <w:sz w:val="24"/>
          <w:szCs w:val="24"/>
          <w14:textFill>
            <w14:solidFill>
              <w14:schemeClr w14:val="tx1"/>
            </w14:solidFill>
          </w14:textFill>
        </w:rPr>
        <w:t xml:space="preserve"> Run load tests at 1×, 5× and 10× peak, then test a higher safety margin. Measure response time, error rate, database CPU, connection count and queue depth. Perform zone-failure and restore exercises. Test that College A cannot read College B's student record. Verify fee callbacks and duplicate payment requests. Record actual test results; do not claim 99.9% availability solely because the architecture is designed for it.</w:t>
      </w:r>
    </w:p>
    <w:p w14:paraId="293FF553">
      <w:pPr>
        <w:spacing w:after="80" w:line="252" w:lineRule="auto"/>
        <w:jc w:val="both"/>
        <w:rPr>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Final defence.</w:t>
      </w:r>
      <w:r>
        <w:rPr>
          <w:rFonts w:ascii="Times New Roman" w:hAnsi="Times New Roman"/>
          <w:color w:val="000000" w:themeColor="text1"/>
          <w:sz w:val="24"/>
          <w:szCs w:val="24"/>
          <w14:textFill>
            <w14:solidFill>
              <w14:schemeClr w14:val="tx1"/>
            </w14:solidFill>
          </w14:textFill>
        </w:rPr>
        <w:t xml:space="preserve"> Modify the original hybrid design. Retain the cloud foundation and phased migration plan, but add a robust API gateway, tenant-aware security, horizontally scalable services, multi-zone deployment and cross-region recovery. This is a proportionate response to the new requirements: it improves scale and isolation without discarding the existing migration investment.</w:t>
      </w:r>
    </w:p>
    <w:p w14:paraId="1D4279EE">
      <w:pPr>
        <w:spacing w:after="80" w:line="252" w:lineRule="auto"/>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Therefore, the original design should be modified with tenant-aware security, stronger API management, horizontal scaling and tested multi-zone and cross-region recovery.</w:t>
      </w:r>
    </w:p>
    <w:p w14:paraId="2C4A364A">
      <w:pPr>
        <w:jc w:val="both"/>
        <w:rPr>
          <w:sz w:val="24"/>
          <w:szCs w:val="24"/>
        </w:rPr>
      </w:pPr>
    </w:p>
    <w:p w14:paraId="50A26E87">
      <w:pPr>
        <w:spacing w:after="120" w:line="300" w:lineRule="auto"/>
        <w:jc w:val="both"/>
        <w:rPr>
          <w:sz w:val="24"/>
          <w:szCs w:val="24"/>
        </w:rPr>
      </w:pPr>
    </w:p>
    <w:bookmarkEnd w:id="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Arial Unicode MS">
    <w:altName w:val="Arial"/>
    <w:panose1 w:val="020B0604020202020204"/>
    <w:charset w:val="80"/>
    <w:family w:val="swiss"/>
    <w:pitch w:val="default"/>
    <w:sig w:usb0="00000000" w:usb1="00000000" w:usb2="0000003F" w:usb3="00000000" w:csb0="003F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02561"/>
    <w:multiLevelType w:val="multilevel"/>
    <w:tmpl w:val="09D02561"/>
    <w:lvl w:ilvl="0" w:tentative="0">
      <w:start w:val="1"/>
      <w:numFmt w:val="bullet"/>
      <w:lvlText w:val="•"/>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263"/>
    <w:rsid w:val="001C7263"/>
    <w:rsid w:val="00203BD3"/>
    <w:rsid w:val="00242113"/>
    <w:rsid w:val="002F51DC"/>
    <w:rsid w:val="005C66AE"/>
    <w:rsid w:val="0060465A"/>
    <w:rsid w:val="00693993"/>
    <w:rsid w:val="009C408C"/>
    <w:rsid w:val="00B746D8"/>
    <w:rsid w:val="092A3D98"/>
    <w:rsid w:val="118B7CD4"/>
    <w:rsid w:val="11B13797"/>
    <w:rsid w:val="125E1331"/>
    <w:rsid w:val="16111742"/>
    <w:rsid w:val="1F163F8E"/>
    <w:rsid w:val="2B762959"/>
    <w:rsid w:val="2D7E65B1"/>
    <w:rsid w:val="303D06B3"/>
    <w:rsid w:val="35740C40"/>
    <w:rsid w:val="38441003"/>
    <w:rsid w:val="49C1268F"/>
    <w:rsid w:val="4DF2588A"/>
    <w:rsid w:val="53BD3DEE"/>
    <w:rsid w:val="5744123D"/>
    <w:rsid w:val="5D4D621E"/>
    <w:rsid w:val="5D4E7523"/>
    <w:rsid w:val="601879B6"/>
    <w:rsid w:val="60E61309"/>
    <w:rsid w:val="61B73BDF"/>
    <w:rsid w:val="647C7BEB"/>
    <w:rsid w:val="68DC3997"/>
    <w:rsid w:val="6B48020E"/>
    <w:rsid w:val="6B7F19ED"/>
    <w:rsid w:val="766F145A"/>
    <w:rsid w:val="7ACC42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Arial" w:cs="Arial"/>
      <w:kern w:val="0"/>
      <w:sz w:val="24"/>
      <w:szCs w:val="24"/>
      <w:lang w:val="en-IN" w:eastAsia="en-IN"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uiPriority w:val="99"/>
    <w:rPr>
      <w:rFonts w:ascii="Tahoma" w:hAnsi="Tahoma" w:cs="Tahoma"/>
      <w:sz w:val="16"/>
      <w:szCs w:val="16"/>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paragraph" w:styleId="16">
    <w:name w:val="Normal (Web)"/>
    <w:basedOn w:val="1"/>
    <w:unhideWhenUsed/>
    <w:uiPriority w:val="99"/>
    <w:pPr>
      <w:spacing w:before="100" w:beforeAutospacing="1" w:after="100" w:afterAutospacing="1"/>
    </w:pPr>
    <w:rPr>
      <w:rFonts w:ascii="Times New Roman" w:hAnsi="Times New Roman" w:eastAsia="Times New Roman" w:cs="Times New Roman"/>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Balloon Text Char"/>
    <w:basedOn w:val="11"/>
    <w:link w:val="13"/>
    <w:semiHidden/>
    <w:uiPriority w:val="99"/>
    <w:rPr>
      <w:rFonts w:ascii="Tahoma" w:hAnsi="Tahoma" w:eastAsia="Arial" w:cs="Tahoma"/>
      <w:kern w:val="0"/>
      <w:sz w:val="16"/>
      <w:szCs w:val="16"/>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2022</Words>
  <Characters>12437</Characters>
  <Lines>131</Lines>
  <Paragraphs>36</Paragraphs>
  <TotalTime>36</TotalTime>
  <ScaleCrop>false</ScaleCrop>
  <LinksUpToDate>false</LinksUpToDate>
  <CharactersWithSpaces>14156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2026-10-30T03:54:00Z</dcterms:created>
  <dc:creator>boomija md</dc:creator>
  <cp:lastModifiedBy>V. Devil Reddy</cp:lastModifiedBy>
  <dcterms:modified xsi:type="dcterms:W3CDTF">2026-10-31T04:44:35Z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eyJoZGlkIjoiODkzZTgwNzQ0NzRhMTk1OTg1N2NjZjlmYzdmNTQyYzgiLCJ1c2VySWQiOiI1NDk3Nzk0ODA2OTQifQ==</vt:lpwstr>
  </property>
  <property fmtid="{D5CDD505-2E9C-101B-9397-08002B2CF9AE}" pid="3" name="KSOProductBuildVer">
    <vt:lpwstr>1033-12.1.0.29162</vt:lpwstr>
  </property>
  <property fmtid="{D5CDD505-2E9C-101B-9397-08002B2CF9AE}" pid="4" name="ICV">
    <vt:lpwstr>D478B7089EB94C2A85496B21B0E23FC0_12</vt:lpwstr>
  </property>
</Properties>
</file>