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BC00" w14:textId="7820C370" w:rsidR="004B7878" w:rsidRPr="004610FF" w:rsidRDefault="005B4235" w:rsidP="004610FF">
      <w:pPr>
        <w:spacing w:after="0" w:line="360" w:lineRule="auto"/>
        <w:jc w:val="center"/>
        <w:rPr>
          <w:b/>
          <w:bCs/>
          <w:i/>
          <w:iCs/>
          <w:sz w:val="28"/>
          <w:szCs w:val="28"/>
        </w:rPr>
      </w:pPr>
      <w:r w:rsidRPr="004610FF">
        <w:rPr>
          <w:rStyle w:val="Strong"/>
          <w:sz w:val="28"/>
          <w:szCs w:val="28"/>
        </w:rPr>
        <w:t>Cognitive Robotics and Autonomous Systems Center (CRAS Center)</w:t>
      </w:r>
      <w:r w:rsidRPr="004610FF">
        <w:rPr>
          <w:sz w:val="28"/>
          <w:szCs w:val="28"/>
        </w:rPr>
        <w:br/>
      </w:r>
      <w:proofErr w:type="spellStart"/>
      <w:r w:rsidRPr="004610FF">
        <w:rPr>
          <w:rStyle w:val="Strong"/>
          <w:sz w:val="24"/>
          <w:szCs w:val="24"/>
        </w:rPr>
        <w:t>MedRoboAI</w:t>
      </w:r>
      <w:proofErr w:type="spellEnd"/>
      <w:r w:rsidRPr="004610FF">
        <w:rPr>
          <w:rStyle w:val="Strong"/>
          <w:sz w:val="24"/>
          <w:szCs w:val="24"/>
        </w:rPr>
        <w:t xml:space="preserve"> Unit: Translational Research in Medical Robotics &amp; AI in Healthcare</w:t>
      </w:r>
      <w:r w:rsidRPr="004610FF">
        <w:rPr>
          <w:sz w:val="28"/>
          <w:szCs w:val="28"/>
        </w:rPr>
        <w:br/>
      </w:r>
      <w:r w:rsidRPr="004610FF">
        <w:rPr>
          <w:rStyle w:val="Emphasis"/>
          <w:rFonts w:ascii="Apple Chancery" w:hAnsi="Apple Chancery" w:cs="Apple Chancery" w:hint="cs"/>
          <w:b/>
          <w:bCs/>
          <w:color w:val="EE0000"/>
          <w:sz w:val="24"/>
          <w:szCs w:val="24"/>
        </w:rPr>
        <w:t>From Lab Bench to Clinical Use</w:t>
      </w:r>
    </w:p>
    <w:tbl>
      <w:tblPr>
        <w:tblStyle w:val="TableGrid"/>
        <w:tblW w:w="9072" w:type="dxa"/>
        <w:tblLook w:val="04A0" w:firstRow="1" w:lastRow="0" w:firstColumn="1" w:lastColumn="0" w:noHBand="0" w:noVBand="1"/>
      </w:tblPr>
      <w:tblGrid>
        <w:gridCol w:w="4320"/>
        <w:gridCol w:w="4752"/>
      </w:tblGrid>
      <w:tr w:rsidR="004B7878" w14:paraId="5ECDBF2A" w14:textId="77777777" w:rsidTr="005B4235">
        <w:tc>
          <w:tcPr>
            <w:tcW w:w="4320" w:type="dxa"/>
          </w:tcPr>
          <w:p w14:paraId="1E274DDA" w14:textId="77777777" w:rsidR="004B7878" w:rsidRDefault="00000000" w:rsidP="004610FF">
            <w:pPr>
              <w:spacing w:line="360" w:lineRule="auto"/>
            </w:pPr>
            <w:r>
              <w:t>CRAS Center Director</w:t>
            </w:r>
          </w:p>
        </w:tc>
        <w:tc>
          <w:tcPr>
            <w:tcW w:w="4752" w:type="dxa"/>
          </w:tcPr>
          <w:p w14:paraId="64E275CA" w14:textId="77777777" w:rsidR="004B7878" w:rsidRPr="004610FF" w:rsidRDefault="00000000" w:rsidP="004610FF">
            <w:pPr>
              <w:spacing w:line="360" w:lineRule="auto"/>
              <w:rPr>
                <w:b/>
                <w:bCs/>
              </w:rPr>
            </w:pPr>
            <w:r w:rsidRPr="004610FF">
              <w:rPr>
                <w:b/>
                <w:bCs/>
              </w:rPr>
              <w:t>Prof. Anis Koubaa</w:t>
            </w:r>
          </w:p>
        </w:tc>
      </w:tr>
      <w:tr w:rsidR="004B7878" w14:paraId="62764874" w14:textId="77777777" w:rsidTr="005B4235">
        <w:tc>
          <w:tcPr>
            <w:tcW w:w="4320" w:type="dxa"/>
          </w:tcPr>
          <w:p w14:paraId="162BA6F8" w14:textId="77777777" w:rsidR="004B7878" w:rsidRDefault="00000000" w:rsidP="004610FF">
            <w:pPr>
              <w:spacing w:line="360" w:lineRule="auto"/>
            </w:pPr>
            <w:r>
              <w:t>CRAS Center Deputy Director</w:t>
            </w:r>
          </w:p>
        </w:tc>
        <w:tc>
          <w:tcPr>
            <w:tcW w:w="4752" w:type="dxa"/>
          </w:tcPr>
          <w:p w14:paraId="23B14379" w14:textId="77777777" w:rsidR="004B7878" w:rsidRPr="004610FF" w:rsidRDefault="00000000" w:rsidP="004610FF">
            <w:pPr>
              <w:spacing w:line="360" w:lineRule="auto"/>
              <w:rPr>
                <w:b/>
                <w:bCs/>
              </w:rPr>
            </w:pPr>
            <w:r w:rsidRPr="004610FF">
              <w:rPr>
                <w:b/>
                <w:bCs/>
              </w:rPr>
              <w:t>Prof. Driss Benhaddou</w:t>
            </w:r>
          </w:p>
        </w:tc>
      </w:tr>
      <w:tr w:rsidR="004B7878" w14:paraId="3A2CFDAE" w14:textId="77777777" w:rsidTr="005B4235">
        <w:tc>
          <w:tcPr>
            <w:tcW w:w="4320" w:type="dxa"/>
          </w:tcPr>
          <w:p w14:paraId="6EC67FA0" w14:textId="77777777" w:rsidR="004B7878" w:rsidRDefault="00000000" w:rsidP="004610FF">
            <w:pPr>
              <w:spacing w:line="360" w:lineRule="auto"/>
            </w:pPr>
            <w:r>
              <w:t>Unit Lead</w:t>
            </w:r>
          </w:p>
        </w:tc>
        <w:tc>
          <w:tcPr>
            <w:tcW w:w="4752" w:type="dxa"/>
          </w:tcPr>
          <w:p w14:paraId="501B1622" w14:textId="77777777" w:rsidR="004B7878" w:rsidRPr="004610FF" w:rsidRDefault="00000000" w:rsidP="004610FF">
            <w:pPr>
              <w:spacing w:line="360" w:lineRule="auto"/>
              <w:rPr>
                <w:b/>
                <w:bCs/>
              </w:rPr>
            </w:pPr>
            <w:r w:rsidRPr="004610FF">
              <w:rPr>
                <w:b/>
                <w:bCs/>
              </w:rPr>
              <w:t>Dr. Mohamed Bahloul</w:t>
            </w:r>
          </w:p>
        </w:tc>
      </w:tr>
      <w:tr w:rsidR="004B7878" w14:paraId="2ABF9922" w14:textId="77777777" w:rsidTr="005B4235">
        <w:tc>
          <w:tcPr>
            <w:tcW w:w="4320" w:type="dxa"/>
          </w:tcPr>
          <w:p w14:paraId="6B0CC231" w14:textId="77777777" w:rsidR="004B7878" w:rsidRDefault="00000000" w:rsidP="004610FF">
            <w:pPr>
              <w:spacing w:line="360" w:lineRule="auto"/>
            </w:pPr>
            <w:r>
              <w:t>Initial launch horizon</w:t>
            </w:r>
          </w:p>
        </w:tc>
        <w:tc>
          <w:tcPr>
            <w:tcW w:w="4752" w:type="dxa"/>
          </w:tcPr>
          <w:p w14:paraId="6382C4AA" w14:textId="77777777" w:rsidR="004B7878" w:rsidRPr="005B4235" w:rsidRDefault="00000000" w:rsidP="004610FF">
            <w:pPr>
              <w:spacing w:line="360" w:lineRule="auto"/>
              <w:rPr>
                <w:b/>
                <w:bCs/>
              </w:rPr>
            </w:pPr>
            <w:r w:rsidRPr="005B4235">
              <w:rPr>
                <w:b/>
                <w:bCs/>
                <w:color w:val="EE0000"/>
                <w:highlight w:val="yellow"/>
              </w:rPr>
              <w:t>12 months (with scalable multi‑year roadmap)</w:t>
            </w:r>
          </w:p>
        </w:tc>
      </w:tr>
    </w:tbl>
    <w:p w14:paraId="0AF43797" w14:textId="77777777" w:rsidR="004610FF" w:rsidRDefault="004610FF" w:rsidP="004610FF">
      <w:pPr>
        <w:tabs>
          <w:tab w:val="left" w:pos="1742"/>
        </w:tabs>
        <w:spacing w:line="360" w:lineRule="auto"/>
      </w:pPr>
    </w:p>
    <w:p w14:paraId="13626BFF" w14:textId="277D3F5A" w:rsidR="004B7878" w:rsidRPr="004610FF" w:rsidRDefault="004610FF" w:rsidP="004610FF">
      <w:pPr>
        <w:tabs>
          <w:tab w:val="left" w:pos="1742"/>
        </w:tabs>
        <w:spacing w:line="360" w:lineRule="auto"/>
        <w:rPr>
          <w:sz w:val="2"/>
          <w:szCs w:val="2"/>
        </w:rPr>
      </w:pPr>
      <w:r>
        <w:tab/>
      </w:r>
    </w:p>
    <w:p w14:paraId="41D5C36B" w14:textId="23E9944F" w:rsidR="004B7878" w:rsidRPr="005B4235" w:rsidRDefault="00000000" w:rsidP="004610FF">
      <w:pPr>
        <w:pStyle w:val="Heading1"/>
        <w:numPr>
          <w:ilvl w:val="0"/>
          <w:numId w:val="11"/>
        </w:numPr>
        <w:spacing w:before="0" w:line="360" w:lineRule="auto"/>
        <w:rPr>
          <w:color w:val="000000" w:themeColor="text1"/>
        </w:rPr>
      </w:pPr>
      <w:r w:rsidRPr="005B4235">
        <w:rPr>
          <w:color w:val="000000" w:themeColor="text1"/>
        </w:rPr>
        <w:t>Executive summary</w:t>
      </w:r>
    </w:p>
    <w:p w14:paraId="2E90B62E" w14:textId="77777777" w:rsidR="005B4235" w:rsidRPr="005B4235" w:rsidRDefault="00000000" w:rsidP="004610FF">
      <w:pPr>
        <w:spacing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 xml:space="preserve">This proposal establishes a dedicated unit within the </w:t>
      </w:r>
      <w:r w:rsidR="005B4235" w:rsidRPr="005B4235">
        <w:rPr>
          <w:sz w:val="24"/>
          <w:szCs w:val="24"/>
        </w:rPr>
        <w:t xml:space="preserve">Cognitive Robotics and Autonomous Systems Center </w:t>
      </w:r>
      <w:r w:rsidRPr="005B4235">
        <w:rPr>
          <w:sz w:val="24"/>
          <w:szCs w:val="24"/>
        </w:rPr>
        <w:t xml:space="preserve">to accelerate clinically relevant innovation in medical robotics, robotic surgery copilots, medical simulators, and AI in healthcare. </w:t>
      </w:r>
    </w:p>
    <w:p w14:paraId="40B6B909" w14:textId="5E9C55B4" w:rsidR="004B7878" w:rsidRPr="005B4235" w:rsidRDefault="00000000" w:rsidP="004610FF">
      <w:pPr>
        <w:spacing w:after="0"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>The unit is designed as a translation engine that connects CRAS robotics/autonomy capabilities with clinical needs, academic talent pipelines, and engineering validation capacity to produce demonstrable prototypes and translation-ready packages.</w:t>
      </w:r>
    </w:p>
    <w:p w14:paraId="3CE56DF4" w14:textId="09AD9ABA" w:rsidR="004B7878" w:rsidRPr="005B4235" w:rsidRDefault="00000000" w:rsidP="004610FF">
      <w:pPr>
        <w:pStyle w:val="Heading1"/>
        <w:numPr>
          <w:ilvl w:val="0"/>
          <w:numId w:val="11"/>
        </w:numPr>
        <w:spacing w:before="0" w:line="360" w:lineRule="auto"/>
        <w:rPr>
          <w:color w:val="000000" w:themeColor="text1"/>
        </w:rPr>
      </w:pPr>
      <w:r w:rsidRPr="005B4235">
        <w:rPr>
          <w:color w:val="000000" w:themeColor="text1"/>
        </w:rPr>
        <w:t>Vision and mission</w:t>
      </w:r>
    </w:p>
    <w:p w14:paraId="1A52316D" w14:textId="77777777" w:rsidR="005B4235" w:rsidRPr="005B4235" w:rsidRDefault="00000000" w:rsidP="004610FF">
      <w:pPr>
        <w:pStyle w:val="Heading2"/>
        <w:spacing w:before="0" w:line="360" w:lineRule="auto"/>
        <w:rPr>
          <w:color w:val="000000" w:themeColor="text1"/>
        </w:rPr>
      </w:pPr>
      <w:r w:rsidRPr="005B4235">
        <w:rPr>
          <w:color w:val="000000" w:themeColor="text1"/>
        </w:rPr>
        <w:t>Vision</w:t>
      </w:r>
      <w:r w:rsidR="005B4235" w:rsidRPr="005B4235">
        <w:rPr>
          <w:color w:val="000000" w:themeColor="text1"/>
        </w:rPr>
        <w:t xml:space="preserve">: </w:t>
      </w:r>
    </w:p>
    <w:p w14:paraId="56283A54" w14:textId="4C816024" w:rsidR="004B7878" w:rsidRPr="005B4235" w:rsidRDefault="00000000" w:rsidP="004610FF">
      <w:pPr>
        <w:pStyle w:val="Heading2"/>
        <w:spacing w:before="0" w:line="360" w:lineRule="auto"/>
        <w:jc w:val="both"/>
        <w:rPr>
          <w:b w:val="0"/>
          <w:bCs w:val="0"/>
          <w:color w:val="000000" w:themeColor="text1"/>
          <w:sz w:val="24"/>
          <w:szCs w:val="24"/>
        </w:rPr>
      </w:pPr>
      <w:r w:rsidRPr="005B4235">
        <w:rPr>
          <w:b w:val="0"/>
          <w:bCs w:val="0"/>
          <w:color w:val="000000" w:themeColor="text1"/>
          <w:sz w:val="24"/>
          <w:szCs w:val="24"/>
        </w:rPr>
        <w:t>Build a nationally visible, clinically grounded hub delivering safe, validated, and transferable medical robotics and AI solutions.</w:t>
      </w:r>
    </w:p>
    <w:p w14:paraId="605293F6" w14:textId="77777777" w:rsidR="004B7878" w:rsidRPr="005B4235" w:rsidRDefault="00000000" w:rsidP="004610FF">
      <w:pPr>
        <w:pStyle w:val="Heading2"/>
        <w:spacing w:line="360" w:lineRule="auto"/>
        <w:rPr>
          <w:color w:val="000000" w:themeColor="text1"/>
        </w:rPr>
      </w:pPr>
      <w:r w:rsidRPr="005B4235">
        <w:rPr>
          <w:color w:val="000000" w:themeColor="text1"/>
        </w:rPr>
        <w:t>Mission (Year 1)</w:t>
      </w:r>
    </w:p>
    <w:p w14:paraId="5B033056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>Deliver two pilot prototypes</w:t>
      </w:r>
      <w:r w:rsidRPr="005B4235">
        <w:rPr>
          <w:sz w:val="24"/>
          <w:szCs w:val="24"/>
        </w:rPr>
        <w:t xml:space="preserve"> (simulation/bench validated) and at least one translation-ready package (evaluation + documentation + adoption plan).</w:t>
      </w:r>
    </w:p>
    <w:p w14:paraId="246249A2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>Establish a repeatable translation pipeline</w:t>
      </w:r>
      <w:r w:rsidRPr="005B4235">
        <w:rPr>
          <w:sz w:val="24"/>
          <w:szCs w:val="24"/>
        </w:rPr>
        <w:t xml:space="preserve"> (needs finding → prototype → verification/validation → translation).</w:t>
      </w:r>
    </w:p>
    <w:p w14:paraId="69AF7F06" w14:textId="77777777" w:rsidR="004B7878" w:rsidRPr="005B4235" w:rsidRDefault="00000000" w:rsidP="004610FF">
      <w:pPr>
        <w:pStyle w:val="ListBullet"/>
        <w:spacing w:after="0"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>Strengthen CRAS Center collaboration</w:t>
      </w:r>
      <w:r w:rsidRPr="005B4235">
        <w:rPr>
          <w:sz w:val="24"/>
          <w:szCs w:val="24"/>
        </w:rPr>
        <w:t xml:space="preserve"> through shared infrastructure, joint proposals, co-supervision, and ecosystem engagement.</w:t>
      </w:r>
    </w:p>
    <w:p w14:paraId="0CA90BB5" w14:textId="5D224D13" w:rsidR="004B7878" w:rsidRPr="005B4235" w:rsidRDefault="00000000" w:rsidP="004610FF">
      <w:pPr>
        <w:pStyle w:val="Heading1"/>
        <w:numPr>
          <w:ilvl w:val="0"/>
          <w:numId w:val="11"/>
        </w:numPr>
        <w:spacing w:before="0" w:line="360" w:lineRule="auto"/>
        <w:rPr>
          <w:color w:val="000000" w:themeColor="text1"/>
        </w:rPr>
      </w:pPr>
      <w:r w:rsidRPr="005B4235">
        <w:rPr>
          <w:color w:val="000000" w:themeColor="text1"/>
        </w:rPr>
        <w:lastRenderedPageBreak/>
        <w:t>Scope and thematic pillars</w:t>
      </w:r>
    </w:p>
    <w:p w14:paraId="4C32E244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>Medical Robotics (assistive/rehabilitation, image-guided robotics, safe human–robot interaction)</w:t>
      </w:r>
    </w:p>
    <w:p w14:paraId="571F176E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>Surgical Robotics Copilots (workflow intelligence, perception, skill assessment, safety monitoring)</w:t>
      </w:r>
    </w:p>
    <w:p w14:paraId="5ED2B0CC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>Medical Simulation &amp; Training (VR/AR/haptics simulation, competency metrics, procedure rehearsal)</w:t>
      </w:r>
    </w:p>
    <w:p w14:paraId="53D57A25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>AI in Healthcare (biomedical imaging/radiology, clinical AI, physiologic AI, decision support)</w:t>
      </w:r>
    </w:p>
    <w:p w14:paraId="3FBBB6D5" w14:textId="77777777" w:rsidR="004B7878" w:rsidRPr="005B4235" w:rsidRDefault="00000000" w:rsidP="004610FF">
      <w:pPr>
        <w:pStyle w:val="ListBullet"/>
        <w:spacing w:after="0"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>Translation &amp; Ecosystem Engagement (evaluation, documentation, partnerships, technology transfer)</w:t>
      </w:r>
    </w:p>
    <w:p w14:paraId="1F61D79B" w14:textId="15307FB0" w:rsidR="004B7878" w:rsidRPr="005B4235" w:rsidRDefault="00000000" w:rsidP="004610FF">
      <w:pPr>
        <w:pStyle w:val="Heading1"/>
        <w:numPr>
          <w:ilvl w:val="0"/>
          <w:numId w:val="11"/>
        </w:numPr>
        <w:spacing w:before="0" w:line="360" w:lineRule="auto"/>
        <w:rPr>
          <w:color w:val="000000" w:themeColor="text1"/>
        </w:rPr>
      </w:pPr>
      <w:r w:rsidRPr="005B4235">
        <w:rPr>
          <w:color w:val="000000" w:themeColor="text1"/>
        </w:rPr>
        <w:t>Synergy model and collaboration</w:t>
      </w:r>
    </w:p>
    <w:p w14:paraId="07992111" w14:textId="2F2D1573" w:rsidR="004B7878" w:rsidRPr="005B4235" w:rsidRDefault="00000000" w:rsidP="004610FF">
      <w:pPr>
        <w:spacing w:after="0" w:line="360" w:lineRule="auto"/>
        <w:jc w:val="both"/>
        <w:rPr>
          <w:sz w:val="24"/>
          <w:szCs w:val="24"/>
        </w:rPr>
      </w:pPr>
      <w:r w:rsidRPr="005B4235">
        <w:rPr>
          <w:sz w:val="24"/>
          <w:szCs w:val="24"/>
        </w:rPr>
        <w:t xml:space="preserve">MedRoboAI is designed to </w:t>
      </w:r>
      <w:r w:rsidRPr="005B4235">
        <w:rPr>
          <w:b/>
          <w:bCs/>
          <w:color w:val="EE0000"/>
          <w:sz w:val="24"/>
          <w:szCs w:val="24"/>
          <w:highlight w:val="yellow"/>
          <w:u w:val="single"/>
        </w:rPr>
        <w:t>integrate tightly with CRAS Center</w:t>
      </w:r>
      <w:r w:rsidRPr="005B4235">
        <w:rPr>
          <w:color w:val="EE0000"/>
          <w:sz w:val="24"/>
          <w:szCs w:val="24"/>
        </w:rPr>
        <w:t xml:space="preserve"> </w:t>
      </w:r>
      <w:r w:rsidRPr="005B4235">
        <w:rPr>
          <w:sz w:val="24"/>
          <w:szCs w:val="24"/>
        </w:rPr>
        <w:t>programs and infrastructure, while leveraging complementary strengths across the College</w:t>
      </w:r>
      <w:r w:rsidR="004610FF">
        <w:rPr>
          <w:sz w:val="24"/>
          <w:szCs w:val="24"/>
        </w:rPr>
        <w:t>s</w:t>
      </w:r>
      <w:r w:rsidRPr="005B4235">
        <w:rPr>
          <w:sz w:val="24"/>
          <w:szCs w:val="24"/>
        </w:rPr>
        <w:t xml:space="preserve"> and the healthcare ecosystem:</w:t>
      </w:r>
    </w:p>
    <w:p w14:paraId="18962ECB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 xml:space="preserve">CRAS Center of Excellence: </w:t>
      </w:r>
      <w:r w:rsidRPr="005B4235">
        <w:rPr>
          <w:sz w:val="24"/>
          <w:szCs w:val="24"/>
        </w:rPr>
        <w:t>Robotics/autonomy platforms, shared testbeds, center governance, and cross-lab engineering integration.</w:t>
      </w:r>
    </w:p>
    <w:p w14:paraId="548DDC44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 xml:space="preserve">Alfa‑HI: </w:t>
      </w:r>
      <w:r w:rsidRPr="005B4235">
        <w:rPr>
          <w:sz w:val="24"/>
          <w:szCs w:val="24"/>
        </w:rPr>
        <w:t>Clinical needs finding, healthcare ecosystem partnerships, innovation pipeline, and translational program alignment.</w:t>
      </w:r>
    </w:p>
    <w:p w14:paraId="6147F138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 xml:space="preserve">Translational Biomedical Engineering Research Lab: </w:t>
      </w:r>
      <w:r w:rsidRPr="005B4235">
        <w:rPr>
          <w:sz w:val="24"/>
          <w:szCs w:val="24"/>
        </w:rPr>
        <w:t>Rapid prototyping, verification/validation, publications, and IP support.</w:t>
      </w:r>
    </w:p>
    <w:p w14:paraId="1FFDED5A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 xml:space="preserve">Biomedical Engineering Department: </w:t>
      </w:r>
      <w:r w:rsidRPr="005B4235">
        <w:rPr>
          <w:sz w:val="24"/>
          <w:szCs w:val="24"/>
        </w:rPr>
        <w:t>BME curriculum alignment, capstones, clinical engineering pipeline, and co-supervision.</w:t>
      </w:r>
    </w:p>
    <w:p w14:paraId="6B8760C5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 xml:space="preserve">Electrical Engineering Department: </w:t>
      </w:r>
      <w:r w:rsidRPr="005B4235">
        <w:rPr>
          <w:sz w:val="24"/>
          <w:szCs w:val="24"/>
        </w:rPr>
        <w:t>Controls, embedded systems, sensing, signals/AI, and systems engineering co-supervision.</w:t>
      </w:r>
    </w:p>
    <w:p w14:paraId="439865EB" w14:textId="77777777" w:rsidR="004B7878" w:rsidRPr="005B4235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 xml:space="preserve">Software Engineering Department: </w:t>
      </w:r>
      <w:r w:rsidRPr="005B4235">
        <w:rPr>
          <w:sz w:val="24"/>
          <w:szCs w:val="24"/>
        </w:rPr>
        <w:t>Software architecture, MLOps, safety-by-design software practices, and productization support.</w:t>
      </w:r>
    </w:p>
    <w:p w14:paraId="2BB17C38" w14:textId="38806891" w:rsidR="004610FF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5B4235">
        <w:rPr>
          <w:b/>
          <w:sz w:val="24"/>
          <w:szCs w:val="24"/>
        </w:rPr>
        <w:t xml:space="preserve">Advanced Computing Division: </w:t>
      </w:r>
      <w:r w:rsidRPr="005B4235">
        <w:rPr>
          <w:sz w:val="24"/>
          <w:szCs w:val="24"/>
        </w:rPr>
        <w:t>High-performance compute, data infrastructure, scalable AI training/inference, and advanced computing expertise.</w:t>
      </w:r>
    </w:p>
    <w:p w14:paraId="14053AD0" w14:textId="0462D006" w:rsidR="004610FF" w:rsidRPr="004610FF" w:rsidRDefault="004610FF" w:rsidP="004610FF">
      <w:pPr>
        <w:pStyle w:val="Heading2"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48FC0956" wp14:editId="27C82CF3">
            <wp:extent cx="5802489" cy="3231798"/>
            <wp:effectExtent l="0" t="0" r="1905" b="0"/>
            <wp:docPr id="2" name="Picture 2" descr="A diagram of a medical researc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diagram of a medical research&#10;&#10;AI-generated content may be incorrect."/>
                    <pic:cNvPicPr/>
                  </pic:nvPicPr>
                  <pic:blipFill rotWithShape="1">
                    <a:blip r:embed="rId6"/>
                    <a:srcRect l="7190" r="6748" b="10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870" cy="345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99934" w14:textId="52F74A1B" w:rsidR="004B7878" w:rsidRPr="004610FF" w:rsidRDefault="00000000" w:rsidP="004610FF">
      <w:pPr>
        <w:pStyle w:val="Heading1"/>
        <w:numPr>
          <w:ilvl w:val="0"/>
          <w:numId w:val="11"/>
        </w:numPr>
        <w:spacing w:before="0" w:line="360" w:lineRule="auto"/>
        <w:rPr>
          <w:color w:val="000000" w:themeColor="text1"/>
        </w:rPr>
      </w:pPr>
      <w:r w:rsidRPr="004610FF">
        <w:rPr>
          <w:color w:val="000000" w:themeColor="text1"/>
        </w:rPr>
        <w:t>Operating model (recommended personnel hierarchy)</w:t>
      </w:r>
    </w:p>
    <w:p w14:paraId="49E72ABE" w14:textId="77777777" w:rsidR="004B7878" w:rsidRPr="004610FF" w:rsidRDefault="00000000" w:rsidP="004610FF">
      <w:pPr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A simple, delivery-focused hierarchy is recommended to ensure both governance and execution speed:</w:t>
      </w:r>
    </w:p>
    <w:p w14:paraId="445FA678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CRAS Center Director and Deputy Director (oversight and alignment)</w:t>
      </w:r>
    </w:p>
    <w:p w14:paraId="24823591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MedRoboAI Unit Lead (strategy, delivery accountability, stakeholder alignment)</w:t>
      </w:r>
    </w:p>
    <w:p w14:paraId="324DCBB3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Unit Executive Committee (pillar leads + operations lead; monthly delivery review)</w:t>
      </w:r>
    </w:p>
    <w:p w14:paraId="6D8C6B90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Pillar Leads (technical roadmaps and deliverables)</w:t>
      </w:r>
    </w:p>
    <w:p w14:paraId="3F0775D7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Core Team (program/ops, robotics/software engineering, data/ML, clinical coordination)</w:t>
      </w:r>
    </w:p>
    <w:p w14:paraId="1C407C9E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Researchers and trainees (postdocs, MSc/PhD, capstones, interns)</w:t>
      </w:r>
    </w:p>
    <w:p w14:paraId="70F9861F" w14:textId="77777777" w:rsidR="004B7878" w:rsidRPr="004610FF" w:rsidRDefault="00000000" w:rsidP="004610FF">
      <w:pPr>
        <w:pStyle w:val="ListBullet"/>
        <w:spacing w:after="0"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Clinical and industry advisory groups (periodic review for relevance, safety, and transfer readiness)</w:t>
      </w:r>
    </w:p>
    <w:p w14:paraId="2F9B5377" w14:textId="77777777" w:rsidR="004B7878" w:rsidRPr="004610FF" w:rsidRDefault="00000000" w:rsidP="004610FF">
      <w:pPr>
        <w:pStyle w:val="Heading1"/>
        <w:spacing w:before="0" w:line="360" w:lineRule="auto"/>
        <w:rPr>
          <w:color w:val="000000" w:themeColor="text1"/>
        </w:rPr>
      </w:pPr>
      <w:r w:rsidRPr="004610FF">
        <w:rPr>
          <w:color w:val="000000" w:themeColor="text1"/>
        </w:rPr>
        <w:t>5. Year</w:t>
      </w:r>
      <w:r w:rsidRPr="004610FF">
        <w:rPr>
          <w:rFonts w:ascii="Cambria Math" w:hAnsi="Cambria Math" w:cs="Cambria Math"/>
          <w:color w:val="000000" w:themeColor="text1"/>
        </w:rPr>
        <w:t>‑</w:t>
      </w:r>
      <w:r w:rsidRPr="004610FF">
        <w:rPr>
          <w:color w:val="000000" w:themeColor="text1"/>
        </w:rPr>
        <w:t>1 plan (high-level)</w:t>
      </w:r>
    </w:p>
    <w:p w14:paraId="74DDCDF9" w14:textId="77777777" w:rsidR="004B7878" w:rsidRPr="004610FF" w:rsidRDefault="00000000" w:rsidP="004610FF">
      <w:pPr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The unit will deliver two pilots and a translation playbook within 12 months:</w:t>
      </w:r>
    </w:p>
    <w:p w14:paraId="7C33D02D" w14:textId="77777777" w:rsidR="004B7878" w:rsidRPr="004610FF" w:rsidRDefault="00000000" w:rsidP="004610FF">
      <w:pPr>
        <w:pStyle w:val="ListNumber"/>
        <w:spacing w:line="360" w:lineRule="auto"/>
        <w:jc w:val="both"/>
        <w:rPr>
          <w:sz w:val="24"/>
          <w:szCs w:val="24"/>
        </w:rPr>
      </w:pPr>
      <w:r w:rsidRPr="004610FF">
        <w:rPr>
          <w:b/>
          <w:sz w:val="24"/>
          <w:szCs w:val="24"/>
        </w:rPr>
        <w:t xml:space="preserve">Pilot 1: Surgical Robotics Copilot (simulation-first MVP). </w:t>
      </w:r>
      <w:r w:rsidRPr="004610FF">
        <w:rPr>
          <w:sz w:val="24"/>
          <w:szCs w:val="24"/>
        </w:rPr>
        <w:t>Workflow recognition + safety prompts + measurable performance metrics in a simulator environment.</w:t>
      </w:r>
    </w:p>
    <w:p w14:paraId="6AC63ED0" w14:textId="77777777" w:rsidR="004B7878" w:rsidRPr="004610FF" w:rsidRDefault="00000000" w:rsidP="004610FF">
      <w:pPr>
        <w:pStyle w:val="ListNumber"/>
        <w:spacing w:line="360" w:lineRule="auto"/>
        <w:jc w:val="both"/>
        <w:rPr>
          <w:sz w:val="24"/>
          <w:szCs w:val="24"/>
        </w:rPr>
      </w:pPr>
      <w:r w:rsidRPr="004610FF">
        <w:rPr>
          <w:b/>
          <w:sz w:val="24"/>
          <w:szCs w:val="24"/>
        </w:rPr>
        <w:lastRenderedPageBreak/>
        <w:t xml:space="preserve">Pilot 2: Medical Simulator Module. </w:t>
      </w:r>
      <w:r w:rsidRPr="004610FF">
        <w:rPr>
          <w:sz w:val="24"/>
          <w:szCs w:val="24"/>
        </w:rPr>
        <w:t>One procedure-focused simulator with objective skill scoring and feedback.</w:t>
      </w:r>
    </w:p>
    <w:p w14:paraId="5264A421" w14:textId="77777777" w:rsidR="004B7878" w:rsidRPr="004610FF" w:rsidRDefault="00000000" w:rsidP="004610FF">
      <w:pPr>
        <w:pStyle w:val="ListNumber"/>
        <w:spacing w:line="360" w:lineRule="auto"/>
        <w:jc w:val="both"/>
        <w:rPr>
          <w:sz w:val="24"/>
          <w:szCs w:val="24"/>
        </w:rPr>
      </w:pPr>
      <w:r w:rsidRPr="004610FF">
        <w:rPr>
          <w:b/>
          <w:sz w:val="24"/>
          <w:szCs w:val="24"/>
        </w:rPr>
        <w:t xml:space="preserve">Translational Playbook. </w:t>
      </w:r>
      <w:r w:rsidRPr="004610FF">
        <w:rPr>
          <w:sz w:val="24"/>
          <w:szCs w:val="24"/>
        </w:rPr>
        <w:t>Templates for data readiness, evaluation, documentation, and project gating (prototype → V&amp;V → translation).</w:t>
      </w:r>
    </w:p>
    <w:p w14:paraId="79F9557C" w14:textId="77777777" w:rsidR="004B7878" w:rsidRPr="004610FF" w:rsidRDefault="00000000" w:rsidP="004610FF">
      <w:pPr>
        <w:pStyle w:val="Heading1"/>
        <w:spacing w:before="0" w:line="360" w:lineRule="auto"/>
        <w:rPr>
          <w:color w:val="000000" w:themeColor="text1"/>
        </w:rPr>
      </w:pPr>
      <w:r w:rsidRPr="004610FF">
        <w:rPr>
          <w:color w:val="000000" w:themeColor="text1"/>
        </w:rPr>
        <w:t>12</w:t>
      </w:r>
      <w:r w:rsidRPr="004610FF">
        <w:rPr>
          <w:rFonts w:ascii="Cambria Math" w:hAnsi="Cambria Math" w:cs="Cambria Math"/>
          <w:color w:val="000000" w:themeColor="text1"/>
        </w:rPr>
        <w:t>‑</w:t>
      </w:r>
      <w:r w:rsidRPr="004610FF">
        <w:rPr>
          <w:color w:val="000000" w:themeColor="text1"/>
        </w:rPr>
        <w:t>month roadmap (quarterly milestones)</w:t>
      </w:r>
    </w:p>
    <w:p w14:paraId="6D516B88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b/>
          <w:bCs/>
          <w:sz w:val="24"/>
          <w:szCs w:val="24"/>
        </w:rPr>
        <w:t>Q1:</w:t>
      </w:r>
      <w:r w:rsidRPr="004610FF">
        <w:rPr>
          <w:sz w:val="24"/>
          <w:szCs w:val="24"/>
        </w:rPr>
        <w:t xml:space="preserve"> Clinical needs-finding; select 2 use-cases; define success metrics; establish governance templates.</w:t>
      </w:r>
    </w:p>
    <w:p w14:paraId="6797396A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b/>
          <w:bCs/>
          <w:sz w:val="24"/>
          <w:szCs w:val="24"/>
        </w:rPr>
        <w:t>Q2:</w:t>
      </w:r>
      <w:r w:rsidRPr="004610FF">
        <w:rPr>
          <w:sz w:val="24"/>
          <w:szCs w:val="24"/>
        </w:rPr>
        <w:t xml:space="preserve"> Prototype v1 for both pilots; bench/simulation verification; first joint proposal submission.</w:t>
      </w:r>
    </w:p>
    <w:p w14:paraId="2F827ED6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b/>
          <w:bCs/>
          <w:sz w:val="24"/>
          <w:szCs w:val="24"/>
        </w:rPr>
        <w:t>Q3:</w:t>
      </w:r>
      <w:r w:rsidRPr="004610FF">
        <w:rPr>
          <w:sz w:val="24"/>
          <w:szCs w:val="24"/>
        </w:rPr>
        <w:t xml:space="preserve"> Prototype v2; usability/workflow studies; demo day; clinician-facing workshop delivery (part 1).</w:t>
      </w:r>
    </w:p>
    <w:p w14:paraId="3C489DBA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b/>
          <w:bCs/>
          <w:sz w:val="24"/>
          <w:szCs w:val="24"/>
        </w:rPr>
        <w:t xml:space="preserve">Q4: </w:t>
      </w:r>
      <w:r w:rsidRPr="004610FF">
        <w:rPr>
          <w:sz w:val="24"/>
          <w:szCs w:val="24"/>
        </w:rPr>
        <w:t>Translation package for at least one pilot; publications/IP; workshops (part 2); SmartTech 2026 track execution; Year‑2 roadmap.</w:t>
      </w:r>
    </w:p>
    <w:p w14:paraId="48D7B512" w14:textId="081A384F" w:rsidR="004B7878" w:rsidRPr="004610FF" w:rsidRDefault="00000000" w:rsidP="004610FF">
      <w:pPr>
        <w:pStyle w:val="Heading1"/>
        <w:numPr>
          <w:ilvl w:val="0"/>
          <w:numId w:val="11"/>
        </w:numPr>
        <w:spacing w:before="0" w:line="360" w:lineRule="auto"/>
        <w:rPr>
          <w:color w:val="000000" w:themeColor="text1"/>
        </w:rPr>
      </w:pPr>
      <w:r w:rsidRPr="004610FF">
        <w:rPr>
          <w:color w:val="000000" w:themeColor="text1"/>
        </w:rPr>
        <w:t>Clinician-facing workshops (healthcare ecosystem engagement)</w:t>
      </w:r>
    </w:p>
    <w:p w14:paraId="164A5ED7" w14:textId="77777777" w:rsidR="004B7878" w:rsidRPr="004610FF" w:rsidRDefault="00000000" w:rsidP="004610FF">
      <w:pPr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 xml:space="preserve">An approved four-workshop program will run during </w:t>
      </w:r>
      <w:r w:rsidRPr="004610FF">
        <w:rPr>
          <w:color w:val="EE0000"/>
          <w:sz w:val="24"/>
          <w:szCs w:val="24"/>
          <w:highlight w:val="yellow"/>
        </w:rPr>
        <w:t>mid‑January to February 2026</w:t>
      </w:r>
      <w:r w:rsidRPr="004610FF">
        <w:rPr>
          <w:sz w:val="24"/>
          <w:szCs w:val="24"/>
        </w:rPr>
        <w:t>, co-led by Dr. Mohamed Bahloul and Prof. Anis Koubaa, targeting clinicians and the wider healthcare ecosystem.</w:t>
      </w:r>
    </w:p>
    <w:p w14:paraId="3E2515C7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الذكاء الاصطناعي في التصوير الطبي (AI in Medical Imaging)</w:t>
      </w:r>
    </w:p>
    <w:p w14:paraId="2FC14B8F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الذكاء الاصطناعي لتحسين نتائج المرضى (AI for Improving Patient Outcomes)</w:t>
      </w:r>
    </w:p>
    <w:p w14:paraId="257C85BE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تخصص الذكاء الاصطناعي في الرعاية الصحية (AI in Healthcare Specialization Track)</w:t>
      </w:r>
    </w:p>
    <w:p w14:paraId="352386DE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تعلّم الآلة بلغة بايثون لمتخصصي الرعاية الصحية (Machine Learning with Python for Healthcare Professionals)</w:t>
      </w:r>
    </w:p>
    <w:p w14:paraId="2EF9B902" w14:textId="77777777" w:rsidR="004B7878" w:rsidRPr="004610FF" w:rsidRDefault="00000000" w:rsidP="004610FF">
      <w:pPr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Each workshop will combine fundamentals and advanced applications with hands-on components (coding, case studies, and implementation templates) to seed pilot projects and strengthen the ecosystem pipeline.</w:t>
      </w:r>
    </w:p>
    <w:p w14:paraId="3D3B4AB5" w14:textId="77777777" w:rsidR="004B7878" w:rsidRPr="004610FF" w:rsidRDefault="00000000" w:rsidP="004610FF">
      <w:pPr>
        <w:pStyle w:val="Heading1"/>
        <w:spacing w:before="0" w:line="360" w:lineRule="auto"/>
        <w:rPr>
          <w:color w:val="000000" w:themeColor="text1"/>
        </w:rPr>
      </w:pPr>
      <w:r w:rsidRPr="004610FF">
        <w:rPr>
          <w:color w:val="000000" w:themeColor="text1"/>
        </w:rPr>
        <w:lastRenderedPageBreak/>
        <w:t>7. SmartTech 2026 dedicated track</w:t>
      </w:r>
    </w:p>
    <w:p w14:paraId="26ADD873" w14:textId="77777777" w:rsidR="004B7878" w:rsidRPr="004610FF" w:rsidRDefault="00000000" w:rsidP="004610FF">
      <w:pPr>
        <w:spacing w:line="360" w:lineRule="auto"/>
        <w:rPr>
          <w:sz w:val="24"/>
          <w:szCs w:val="24"/>
        </w:rPr>
      </w:pPr>
      <w:r w:rsidRPr="004610FF">
        <w:rPr>
          <w:sz w:val="24"/>
          <w:szCs w:val="24"/>
        </w:rPr>
        <w:t>MedRoboAI will curate and lead a dedicated SmartTech 2026 track on Medical Robotics and AI in Healthcare, including keynotes/panels, technical sessions, tutorials (coding for the medical sector), and demo/poster showcases.</w:t>
      </w:r>
    </w:p>
    <w:p w14:paraId="76556D52" w14:textId="77777777" w:rsidR="004B7878" w:rsidRPr="004610FF" w:rsidRDefault="00000000" w:rsidP="004610FF">
      <w:pPr>
        <w:pStyle w:val="Heading1"/>
        <w:spacing w:before="0" w:line="360" w:lineRule="auto"/>
        <w:rPr>
          <w:color w:val="000000" w:themeColor="text1"/>
        </w:rPr>
      </w:pPr>
      <w:r w:rsidRPr="004610FF">
        <w:rPr>
          <w:color w:val="000000" w:themeColor="text1"/>
        </w:rPr>
        <w:t>8. KPIs (12</w:t>
      </w:r>
      <w:r w:rsidRPr="004610FF">
        <w:rPr>
          <w:rFonts w:ascii="Cambria Math" w:hAnsi="Cambria Math" w:cs="Cambria Math"/>
          <w:color w:val="000000" w:themeColor="text1"/>
        </w:rPr>
        <w:t>‑</w:t>
      </w:r>
      <w:r w:rsidRPr="004610FF">
        <w:rPr>
          <w:color w:val="000000" w:themeColor="text1"/>
        </w:rPr>
        <w:t>month targets)</w:t>
      </w:r>
    </w:p>
    <w:p w14:paraId="464FCFCF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Two pilots launched; at least one demo-ready validated prototype</w:t>
      </w:r>
    </w:p>
    <w:p w14:paraId="7EE41D20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Two or more joint funding submissions (center + external/industry)</w:t>
      </w:r>
    </w:p>
    <w:p w14:paraId="103E482B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Two or more publications; at least one IP disclosure/patent filing</w:t>
      </w:r>
    </w:p>
    <w:p w14:paraId="4063508B" w14:textId="77777777" w:rsidR="004B7878" w:rsidRPr="004610FF" w:rsidRDefault="00000000" w:rsidP="004610FF">
      <w:pPr>
        <w:pStyle w:val="ListBullet"/>
        <w:spacing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Four workshops delivered (Jan–Feb 2026) and active engagement of clinicians and ecosystem partners</w:t>
      </w:r>
    </w:p>
    <w:p w14:paraId="3D15C3CE" w14:textId="77777777" w:rsidR="004B7878" w:rsidRPr="004610FF" w:rsidRDefault="00000000" w:rsidP="001F296D">
      <w:pPr>
        <w:pStyle w:val="ListBullet"/>
        <w:spacing w:after="0" w:line="360" w:lineRule="auto"/>
        <w:jc w:val="both"/>
        <w:rPr>
          <w:sz w:val="24"/>
          <w:szCs w:val="24"/>
        </w:rPr>
      </w:pPr>
      <w:r w:rsidRPr="004610FF">
        <w:rPr>
          <w:sz w:val="24"/>
          <w:szCs w:val="24"/>
        </w:rPr>
        <w:t>At least two active clinical/industry collaborations with documented milestones</w:t>
      </w:r>
    </w:p>
    <w:p w14:paraId="5DF20215" w14:textId="77777777" w:rsidR="004B7878" w:rsidRDefault="00000000" w:rsidP="004610FF">
      <w:pPr>
        <w:spacing w:line="360" w:lineRule="auto"/>
      </w:pPr>
      <w:r>
        <w:rPr>
          <w:noProof/>
        </w:rPr>
        <w:drawing>
          <wp:inline distT="0" distB="0" distL="0" distR="0" wp14:anchorId="652ADEC1" wp14:editId="6F062963">
            <wp:extent cx="6117752" cy="30708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dRoboAI_Personnel_Hierarchy_Simple.png"/>
                    <pic:cNvPicPr/>
                  </pic:nvPicPr>
                  <pic:blipFill rotWithShape="1">
                    <a:blip r:embed="rId7"/>
                    <a:srcRect l="4054" r="4155" b="138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912" cy="3090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E446AA" w14:textId="381E274D" w:rsidR="004B7878" w:rsidRDefault="00000000" w:rsidP="004610FF">
      <w:pPr>
        <w:spacing w:line="360" w:lineRule="auto"/>
        <w:jc w:val="center"/>
      </w:pPr>
      <w:r>
        <w:t>Figure 2. Simplified synergy map (CRAS + Alfa‑HI + departments + lab).</w:t>
      </w:r>
    </w:p>
    <w:p w14:paraId="3F77B3CF" w14:textId="77777777" w:rsidR="004B7878" w:rsidRPr="004610FF" w:rsidRDefault="00000000" w:rsidP="001F296D">
      <w:pPr>
        <w:pStyle w:val="Heading1"/>
        <w:spacing w:before="0" w:line="240" w:lineRule="auto"/>
        <w:rPr>
          <w:color w:val="000000" w:themeColor="text1"/>
        </w:rPr>
      </w:pPr>
      <w:r w:rsidRPr="004610FF">
        <w:rPr>
          <w:color w:val="000000" w:themeColor="text1"/>
        </w:rPr>
        <w:t>References (links)</w:t>
      </w:r>
    </w:p>
    <w:p w14:paraId="6E39F40C" w14:textId="0D8050EB" w:rsidR="004B7878" w:rsidRDefault="00000000" w:rsidP="001F296D">
      <w:pPr>
        <w:pStyle w:val="ListBullet"/>
        <w:spacing w:after="0" w:line="240" w:lineRule="auto"/>
      </w:pPr>
      <w:r>
        <w:t xml:space="preserve">WHO Global Strategy on Digital Health 2020–2025: </w:t>
      </w:r>
      <w:hyperlink r:id="rId8" w:history="1">
        <w:r w:rsidRPr="004610FF">
          <w:rPr>
            <w:rStyle w:val="Hyperlink"/>
          </w:rPr>
          <w:t>https://www.who.int/publications/i/item/9789240020924</w:t>
        </w:r>
      </w:hyperlink>
    </w:p>
    <w:p w14:paraId="4054671F" w14:textId="5C75AEFE" w:rsidR="004B7878" w:rsidRDefault="00000000" w:rsidP="001F296D">
      <w:pPr>
        <w:pStyle w:val="ListBullet"/>
        <w:spacing w:after="0" w:line="240" w:lineRule="auto"/>
      </w:pPr>
      <w:r>
        <w:t>NIST AI Risk Management Framework (AI RMF 1.0):</w:t>
      </w:r>
      <w:r w:rsidR="004610FF">
        <w:br/>
      </w:r>
      <w:r>
        <w:t xml:space="preserve"> </w:t>
      </w:r>
      <w:hyperlink r:id="rId9" w:history="1">
        <w:r w:rsidRPr="004610FF">
          <w:rPr>
            <w:rStyle w:val="Hyperlink"/>
          </w:rPr>
          <w:t>https://www.nist.gov/itl/ai-risk-management-framework</w:t>
        </w:r>
      </w:hyperlink>
    </w:p>
    <w:p w14:paraId="0104E65C" w14:textId="6297B65D" w:rsidR="004B7878" w:rsidRDefault="00000000" w:rsidP="001F296D">
      <w:pPr>
        <w:pStyle w:val="ListBullet"/>
        <w:spacing w:after="0" w:line="240" w:lineRule="auto"/>
      </w:pPr>
      <w:r>
        <w:lastRenderedPageBreak/>
        <w:t xml:space="preserve">Saudi Vision 2030 – Health Sector Transformation Program: </w:t>
      </w:r>
      <w:hyperlink r:id="rId10" w:history="1">
        <w:r w:rsidRPr="004610FF">
          <w:rPr>
            <w:rStyle w:val="Hyperlink"/>
          </w:rPr>
          <w:t>https://www.vision2030.gov.sa/en/explore/programs/health-sector-transformation-program</w:t>
        </w:r>
      </w:hyperlink>
    </w:p>
    <w:p w14:paraId="3405FF96" w14:textId="0B83E000" w:rsidR="004B7878" w:rsidRDefault="00000000" w:rsidP="001F296D">
      <w:pPr>
        <w:pStyle w:val="ListBullet"/>
        <w:spacing w:after="0" w:line="240" w:lineRule="auto"/>
      </w:pPr>
      <w:r>
        <w:t xml:space="preserve">SFDA (Saudi Food &amp; Drug Authority) – Medical Devices portal: </w:t>
      </w:r>
      <w:hyperlink r:id="rId11" w:history="1">
        <w:r w:rsidRPr="004610FF">
          <w:rPr>
            <w:rStyle w:val="Hyperlink"/>
          </w:rPr>
          <w:t>https://www.sfda.gov.sa/en/medicaldevices</w:t>
        </w:r>
      </w:hyperlink>
    </w:p>
    <w:sectPr w:rsidR="004B78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8C37DF5"/>
    <w:multiLevelType w:val="hybridMultilevel"/>
    <w:tmpl w:val="D3006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DB181D"/>
    <w:multiLevelType w:val="hybridMultilevel"/>
    <w:tmpl w:val="DBD86E7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33402002">
    <w:abstractNumId w:val="8"/>
  </w:num>
  <w:num w:numId="2" w16cid:durableId="1142192005">
    <w:abstractNumId w:val="6"/>
  </w:num>
  <w:num w:numId="3" w16cid:durableId="1191064702">
    <w:abstractNumId w:val="5"/>
  </w:num>
  <w:num w:numId="4" w16cid:durableId="1066873485">
    <w:abstractNumId w:val="4"/>
  </w:num>
  <w:num w:numId="5" w16cid:durableId="1854999957">
    <w:abstractNumId w:val="7"/>
  </w:num>
  <w:num w:numId="6" w16cid:durableId="1452548442">
    <w:abstractNumId w:val="3"/>
  </w:num>
  <w:num w:numId="7" w16cid:durableId="1062021021">
    <w:abstractNumId w:val="2"/>
  </w:num>
  <w:num w:numId="8" w16cid:durableId="1418864890">
    <w:abstractNumId w:val="1"/>
  </w:num>
  <w:num w:numId="9" w16cid:durableId="1989363833">
    <w:abstractNumId w:val="0"/>
  </w:num>
  <w:num w:numId="10" w16cid:durableId="1978994413">
    <w:abstractNumId w:val="9"/>
  </w:num>
  <w:num w:numId="11" w16cid:durableId="17918933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296D"/>
    <w:rsid w:val="0029639D"/>
    <w:rsid w:val="00326F90"/>
    <w:rsid w:val="004610FF"/>
    <w:rsid w:val="004B7878"/>
    <w:rsid w:val="005B4235"/>
    <w:rsid w:val="005E4831"/>
    <w:rsid w:val="00AA1D8D"/>
    <w:rsid w:val="00B47730"/>
    <w:rsid w:val="00C7745F"/>
    <w:rsid w:val="00CB0664"/>
    <w:rsid w:val="00E869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5893C3"/>
  <w14:defaultImageDpi w14:val="300"/>
  <w15:docId w15:val="{FD3A8E6D-F1A5-4C46-AC5D-60309BAC3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5B4235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4610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1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ho.int/publications/i/item/978924002092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sfda.gov.sa/en/medicaldevice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vision2030.gov.sa/en/explore/programs/health-sector-transformation-progra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ist.gov/itl/ai-risk-management-framewor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1045</Words>
  <Characters>5961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Bahloul</cp:lastModifiedBy>
  <cp:revision>3</cp:revision>
  <dcterms:created xsi:type="dcterms:W3CDTF">2025-12-13T18:29:00Z</dcterms:created>
  <dcterms:modified xsi:type="dcterms:W3CDTF">2025-12-13T18:30:00Z</dcterms:modified>
  <cp:category/>
</cp:coreProperties>
</file>