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color w:val="ff0000"/>
          <w:sz w:val="48"/>
          <w:szCs w:val="48"/>
          <w:u w:val="single"/>
        </w:rPr>
      </w:pPr>
      <w:r w:rsidDel="00000000" w:rsidR="00000000" w:rsidRPr="00000000">
        <w:rPr>
          <w:color w:val="ff0000"/>
          <w:sz w:val="48"/>
          <w:szCs w:val="48"/>
          <w:u w:val="single"/>
          <w:rtl w:val="0"/>
        </w:rPr>
        <w:t xml:space="preserve">Manuel Utilisateur :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1.Écran de connexion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Voici l’écran de connexion du logiciel DigiSphere, où l’on peut entrer le login (nom) et le mot de passe 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1113" cy="304958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04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2. Écran d’accueil utilisateur</w:t>
      </w:r>
    </w:p>
    <w:p w:rsidR="00000000" w:rsidDel="00000000" w:rsidP="00000000" w:rsidRDefault="00000000" w:rsidRPr="00000000" w14:paraId="0000001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Une fois connecté (ici en tant que visiteur) on pourra voir cette écran s’afficher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u w:val="single"/>
        </w:rPr>
        <w:drawing>
          <wp:inline distB="114300" distT="114300" distL="114300" distR="114300">
            <wp:extent cx="5167313" cy="284116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4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3. Consultation praticien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Depuis un des accueils disponible, vous verrez sur le menu dans l’onglet “Consultation” un sous paramètres pour aller sur l’écran praticien.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Accueil -&gt; Menu -&gt; Consultation -&gt; Fiche Praticien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256947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569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Une fois arrivé sur l’écran de la liste des praticiens, sélectionnez un praticien depuis la liste déroulante afin que les informations de l’individu sélectionné s’affichent.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4.Consultation produit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Depuis un des accueils disponible, vous verrez sur le menu l’onglet “Produits”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5.Rapport de Visite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542472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542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le formulaire de rapport précédent, il est possible de créer des rapports de visite.</w:t>
        <w:br w:type="textWrapping"/>
        <w:t xml:space="preserve"> On peut indiquer un nom, une date, un praticien et un motif.</w:t>
        <w:br w:type="textWrapping"/>
        <w:t xml:space="preserve"> Il est également possible pour l’utilisateur de rédiger un bilan et d’indiquer des produits à prescrire.</w:t>
        <w:br w:type="textWrapping"/>
        <w:t xml:space="preserve"> Enfin, il est possible de valider, d’annuler ou de réinitialiser la rédaction.</w:t>
      </w:r>
    </w:p>
    <w:sectPr>
      <w:headerReference r:id="rId14" w:type="firs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is9ivtTDKwUL+UnkZ5FR4Zt0yQ==">CgMxLjA4AHIhMU9rMkZqWDctT0x0eGdnNU9NTVlud2ZRNEZFLS1wQl9z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