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Restaurant Business Plan</w:t>
      </w:r>
    </w:p>
    <w:p>
      <w:r>
        <w:t>Blank editable outline | MyBreakeven | October 24, 2026</w:t>
      </w:r>
    </w:p>
    <w:p>
      <w:r>
        <w:t>Business name: ____________________   Owner: ____________________</w:t>
      </w:r>
    </w:p>
    <w:p>
      <w:r>
        <w:t>Plan period: ____________________   Next review: ____________________</w:t>
      </w:r>
    </w:p>
    <w:p>
      <w:pPr>
        <w:pStyle w:val="Heading1"/>
      </w:pPr>
      <w:r>
        <w:t>Executive summary</w:t>
      </w:r>
    </w:p>
    <w:p>
      <w:r>
        <w:t>Summarize the buyer, offer, evidence, funding need and next milestone. Complete this after checking the financial schedules.</w:t>
      </w:r>
    </w:p>
    <w:p>
      <w:pPr>
        <w:pStyle w:val="Heading1"/>
      </w:pPr>
      <w:r>
        <w:t>Business and ownership</w:t>
      </w:r>
    </w:p>
    <w:p>
      <w:r>
        <w:t>Name the owner, restaurant format and service area. Assign responsibility for finance and daily service. [Replace with your plan.]</w:t>
      </w:r>
    </w:p>
    <w:p>
      <w:pPr>
        <w:pStyle w:val="Heading1"/>
      </w:pPr>
      <w:r>
        <w:t>Guests, location and competitors</w:t>
      </w:r>
    </w:p>
    <w:p>
      <w:r>
        <w:t>Describe the guest occasion, nearby alternatives and dated local evidence. Separate targets from confirmed demand. [Replace with your plan.]</w:t>
      </w:r>
    </w:p>
    <w:p>
      <w:pPr>
        <w:pStyle w:val="Heading1"/>
      </w:pPr>
      <w:r>
        <w:t>Menu and service scope</w:t>
      </w:r>
    </w:p>
    <w:p>
      <w:r>
        <w:t>Define the menu, average order basket, waste and channel costs. Set a costed recipe and revision date. [Replace with your plan.]</w:t>
      </w:r>
    </w:p>
    <w:p>
      <w:pPr>
        <w:pStyle w:val="Heading1"/>
      </w:pPr>
      <w:r>
        <w:t>Operations and peak capacity</w:t>
      </w:r>
    </w:p>
    <w:p>
      <w:r>
        <w:t>Record dayparts, queue time, kitchen output, seats, turns and total worker-hours. Test the busiest period. [Replace with your plan.]</w:t>
      </w:r>
    </w:p>
    <w:p>
      <w:pPr>
        <w:pStyle w:val="Heading1"/>
      </w:pPr>
      <w:r>
        <w:t>Staff, suppliers and approvals</w:t>
      </w:r>
    </w:p>
    <w:p>
      <w:r>
        <w:t>List guaranteed shifts and owner work. Attach supplier quotes and location-specific approval and insurance checks. [Replace with your plan.]</w:t>
      </w:r>
    </w:p>
    <w:p>
      <w:pPr>
        <w:pStyle w:val="Heading1"/>
      </w:pPr>
      <w:r>
        <w:t>Sales and marketing</w:t>
      </w:r>
    </w:p>
    <w:p>
      <w:r>
        <w:t>Name each test channel, cost, measurable conversion and repeat-visit measure. Avoid treating publicity as paid orders. [Replace with your plan.]</w:t>
      </w:r>
    </w:p>
    <w:p>
      <w:pPr>
        <w:pStyle w:val="Heading1"/>
      </w:pPr>
      <w:r>
        <w:t>Financial plan and funding</w:t>
      </w:r>
    </w:p>
    <w:p>
      <w:r>
        <w:t>Reconcile orders, price, direct costs, commitments, opening purchases and reserve. State omitted items. [Replace with your plan.]</w:t>
      </w:r>
    </w:p>
    <w:p>
      <w:pPr>
        <w:pStyle w:val="Heading1"/>
      </w:pPr>
      <w:r>
        <w:t>Risks and response</w:t>
      </w:r>
    </w:p>
    <w:p>
      <w:r>
        <w:t>Specify a downside trigger, the remaining commitments and a funded response. Assign an owner and review date. [Replace with your plan.]</w:t>
      </w:r>
    </w:p>
    <w:p>
      <w:pPr>
        <w:pStyle w:val="Heading1"/>
      </w:pPr>
      <w:r>
        <w:t>Milestones and evidence</w:t>
      </w:r>
    </w:p>
    <w:p>
      <w:r>
        <w:t>Record dated market tests, approvals, quotes, capacity trials and funding decisions. Review actuals monthly. [Replace with your plan.]</w:t>
      </w:r>
    </w:p>
    <w:p>
      <w:r>
        <w:br w:type="page"/>
      </w:r>
    </w:p>
    <w:p>
      <w:pPr>
        <w:pStyle w:val="Title"/>
      </w:pPr>
      <w:r>
        <w:t>Juniper Counter</w:t>
      </w:r>
    </w:p>
    <w:p>
      <w:r>
        <w:t>Completed fictional example | Concept, service capacity and opening funding</w:t>
      </w:r>
    </w:p>
    <w:p>
      <w:r>
        <w:t>Executive summary: Juniper Counter is a fictional counter-service restaurant. The owner manages suppliers and service quality. The plan separates opening funding from the recurring monthly operating model. The monthly model has 3,120 orders, $74,880 sales and $46,800 contribution. After $42,000 commitments, $4,800 remains before tax and financing. Opening payments of $90,000 plus a $25,000 reserve require $115,000 funding.</w:t>
      </w:r>
    </w:p>
    <w:p>
      <w:pPr>
        <w:pStyle w:val="Heading1"/>
      </w:pPr>
      <w:r>
        <w:t>Business and ownership</w:t>
      </w:r>
    </w:p>
    <w:p>
      <w:r>
        <w:t>Juniper Counter is a fictional counter-service restaurant. The owner manages suppliers and service quality. The plan separates opening funding from the recurring monthly operating model.</w:t>
      </w:r>
    </w:p>
    <w:p>
      <w:pPr>
        <w:pStyle w:val="Heading1"/>
      </w:pPr>
      <w:r>
        <w:t>Guests, location and competitors</w:t>
      </w:r>
    </w:p>
    <w:p>
      <w:r>
        <w:t>The target occasion is weekday lunch and early dinner. Foot-traffic observations, competitor menus and paid pop-ups must validate the proposed demand. No accepted lease or proven customer volume is assumed.</w:t>
      </w:r>
    </w:p>
    <w:p>
      <w:pPr>
        <w:pStyle w:val="Heading1"/>
      </w:pPr>
      <w:r>
        <w:t>Menu and service scope</w:t>
      </w:r>
    </w:p>
    <w:p>
      <w:r>
        <w:t>A limited menu supports a fictional $24 average order. The $9 order-driven cost covers food, packaging and sale-dependent charges. Additional channel commissions require a separate cost assumption.</w:t>
      </w:r>
    </w:p>
    <w:p>
      <w:pPr>
        <w:pStyle w:val="Heading1"/>
      </w:pPr>
      <w:r>
        <w:t>Operations and peak capacity</w:t>
      </w:r>
    </w:p>
    <w:p>
      <w:r>
        <w:t>The financial target is 120 orders a day for 26 trading days. The team must demonstrate that the line can handle peak demand; a monthly average does not establish rush-hour capacity.</w:t>
      </w:r>
    </w:p>
    <w:p>
      <w:pPr>
        <w:pStyle w:val="Heading1"/>
      </w:pPr>
      <w:r>
        <w:t>Staff, suppliers and approvals</w:t>
      </w:r>
    </w:p>
    <w:p>
      <w:r>
        <w:t>Monthly commitments of $42,000 include guaranteed staff and owner wages once. Supplier quotes and backup arrangements remain evidence to obtain. Lease, food-service approvals and insurance must be checked for the actual location.</w:t>
      </w:r>
    </w:p>
    <w:p>
      <w:pPr>
        <w:pStyle w:val="Heading1"/>
      </w:pPr>
      <w:r>
        <w:t>Sales and marketing</w:t>
      </w:r>
    </w:p>
    <w:p>
      <w:r>
        <w:t>The restaurant will test nearby customer outreach through its own storefront and local discovery channels, then measure paid orders and repeat visits. The 120-order target remains a planning assumption.</w:t>
      </w:r>
    </w:p>
    <w:p>
      <w:pPr>
        <w:pStyle w:val="Heading1"/>
      </w:pPr>
      <w:r>
        <w:t>Financial plan and funding</w:t>
      </w:r>
    </w:p>
    <w:p>
      <w:r>
        <w:t>The monthly model has 3,120 orders, $74,880 sales and $46,800 contribution. After $42,000 commitments, $4,800 remains before tax and financing. Opening payments of $90,000 plus a $25,000 reserve require $115,000 funding.</w:t>
      </w:r>
    </w:p>
    <w:p>
      <w:pPr>
        <w:pStyle w:val="Heading1"/>
      </w:pPr>
      <w:r>
        <w:t>Risks and response</w:t>
      </w:r>
    </w:p>
    <w:p>
      <w:r>
        <w:t>At 95 orders per trading day, the same cost structure loses $4,950 monthly. The owner will review daypart demand and paid staffing after each pilot. Any throughput constraint must be resolved before committing to the forecast.</w:t>
      </w:r>
    </w:p>
    <w:p>
      <w:pPr>
        <w:pStyle w:val="Heading1"/>
      </w:pPr>
      <w:r>
        <w:t>Milestones and evidence</w:t>
      </w:r>
    </w:p>
    <w:p>
      <w:r>
        <w:t>First validate the guest occasion and supplier costs. Then run paid service trials, record peak throughput and complete the funding schedule. Commit to opening only after the operating, approval and cash conditions are supported.</w:t>
      </w:r>
    </w:p>
    <w:p>
      <w:r>
        <w:br w:type="page"/>
      </w:r>
    </w:p>
    <w:p>
      <w:pPr>
        <w:pStyle w:val="Title"/>
      </w:pPr>
      <w:r>
        <w:t>Financial example and evidence</w:t>
      </w:r>
    </w:p>
    <w:p>
      <w:r>
        <w:t>USD example for one modeled month. Use the companion Excel workbook to replace inputs and inspect the operating calculations. These are fictional inputs, not industry averages or customer results.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Measure</w:t>
            </w:r>
          </w:p>
        </w:tc>
        <w:tc>
          <w:tcPr>
            <w:tcW w:type="dxa" w:w="5112"/>
          </w:tcPr>
          <w:p>
            <w:r>
              <w:t>Calculation</w:t>
            </w:r>
          </w:p>
        </w:tc>
      </w:tr>
      <w:tr>
        <w:tc>
          <w:tcPr>
            <w:tcW w:type="dxa" w:w="5112"/>
          </w:tcPr>
          <w:p>
            <w:r>
              <w:t>Monthly orders and sales</w:t>
            </w:r>
          </w:p>
        </w:tc>
        <w:tc>
          <w:tcPr>
            <w:tcW w:type="dxa" w:w="5112"/>
          </w:tcPr>
          <w:p>
            <w:r>
              <w:t>120 × 26 = 3,120 orders; × $24 = $74,880</w:t>
            </w:r>
          </w:p>
        </w:tc>
      </w:tr>
      <w:tr>
        <w:tc>
          <w:tcPr>
            <w:tcW w:type="dxa" w:w="5112"/>
          </w:tcPr>
          <w:p>
            <w:r>
              <w:t>Contribution</w:t>
            </w:r>
          </w:p>
        </w:tc>
        <w:tc>
          <w:tcPr>
            <w:tcW w:type="dxa" w:w="5112"/>
          </w:tcPr>
          <w:p>
            <w:r>
              <w:t>3,120 × ($24 − $9) = $46,800</w:t>
            </w:r>
          </w:p>
        </w:tc>
      </w:tr>
      <w:tr>
        <w:tc>
          <w:tcPr>
            <w:tcW w:type="dxa" w:w="5112"/>
          </w:tcPr>
          <w:p>
            <w:r>
              <w:t>Operating result in stated scope</w:t>
            </w:r>
          </w:p>
        </w:tc>
        <w:tc>
          <w:tcPr>
            <w:tcW w:type="dxa" w:w="5112"/>
          </w:tcPr>
          <w:p>
            <w:r>
              <w:t>$46,800 − $42,000 = $4,800</w:t>
            </w:r>
          </w:p>
        </w:tc>
      </w:tr>
      <w:tr>
        <w:tc>
          <w:tcPr>
            <w:tcW w:type="dxa" w:w="5112"/>
          </w:tcPr>
          <w:p>
            <w:r>
              <w:t>Whole monthly / daily break-even</w:t>
            </w:r>
          </w:p>
        </w:tc>
        <w:tc>
          <w:tcPr>
            <w:tcW w:type="dxa" w:w="5112"/>
          </w:tcPr>
          <w:p>
            <w:r>
              <w:t>2,800 monthly; 108 per trading day</w:t>
            </w:r>
          </w:p>
        </w:tc>
      </w:tr>
      <w:tr>
        <w:tc>
          <w:tcPr>
            <w:tcW w:type="dxa" w:w="5112"/>
          </w:tcPr>
          <w:p>
            <w:r>
              <w:t>Opening funding</w:t>
            </w:r>
          </w:p>
        </w:tc>
        <w:tc>
          <w:tcPr>
            <w:tcW w:type="dxa" w:w="5112"/>
          </w:tcPr>
          <w:p>
            <w:r>
              <w:t>$90,000 purchases + $25,000 reserve = $115,000</w:t>
            </w:r>
          </w:p>
        </w:tc>
      </w:tr>
      <w:tr>
        <w:tc>
          <w:tcPr>
            <w:tcW w:type="dxa" w:w="5112"/>
          </w:tcPr>
          <w:p>
            <w:r>
              <w:t>Downside at 95 orders/day</w:t>
            </w:r>
          </w:p>
        </w:tc>
        <w:tc>
          <w:tcPr>
            <w:tcW w:type="dxa" w:w="5112"/>
          </w:tcPr>
          <w:p>
            <w:r>
              <w:t>2,470 × $15 − $42,000 = −$4,950</w:t>
            </w:r>
          </w:p>
        </w:tc>
      </w:tr>
    </w:tbl>
    <w:p>
      <w:r>
        <w:t>The financial workbook retains its existing Outline and Financial Model tabs. In Financial Model, replace B6:B12 with your own assumptions. B10 already includes modeled owner pay. Break-even is unavailable when contribution is nonpositive or inputs are incomplete; a zero trading-day month has no daily target.</w:t>
      </w:r>
    </w:p>
    <w:p>
      <w:pPr>
        <w:pStyle w:val="Heading1"/>
      </w:pPr>
      <w:r>
        <w:t>Cash timing</w:t>
      </w:r>
    </w:p>
    <w:p>
      <w:r>
        <w:t>Opening funding is a separate requirement, not a monthly expense or a promise that the business repays the investment in month one. Date the equipment payments, deposits, inventory, customer receipts, tax and loan principal in the 13-week forecast. The monthly financial workbook does not supply those payment dates.</w:t>
      </w:r>
    </w:p>
    <w:p>
      <w:pPr>
        <w:pStyle w:val="Heading1"/>
      </w:pPr>
      <w:r>
        <w:t>Evidence to collect</w:t>
      </w:r>
    </w:p>
    <w:p>
      <w:pPr>
        <w:pStyle w:val="ListBullet"/>
      </w:pPr>
      <w:r>
        <w:t>Paid service trials and peak-hour output logs</w:t>
      </w:r>
    </w:p>
    <w:p>
      <w:pPr>
        <w:pStyle w:val="ListBullet"/>
      </w:pPr>
      <w:r>
        <w:t>Supplier, fit-out and equipment quotes</w:t>
      </w:r>
    </w:p>
    <w:p>
      <w:pPr>
        <w:pStyle w:val="ListBullet"/>
      </w:pPr>
      <w:r>
        <w:t>Lease, approval and insurance records</w:t>
      </w:r>
    </w:p>
    <w:p>
      <w:pPr>
        <w:pStyle w:val="ListBullet"/>
      </w:pPr>
      <w:r>
        <w:t>Staff schedule and a dated funding plan</w:t>
      </w:r>
    </w:p>
    <w:p>
      <w:r>
        <w:t>Record each next action with an owner, due date, evidence and a pass condition. Replace assumptions after paid tests and reconcile completed work, invoices and bank receipts each month.</w:t>
      </w:r>
    </w:p>
    <w:p>
      <w:r>
        <w:t>Scope: results exclude unentered tax, financing, depreciation and owner costs. Monthly cash does not test payment dates within a month. No external accountant review or funding approval is implied.</w:t>
      </w:r>
    </w:p>
    <w:p>
      <w:r>
        <w:t>Resource: https://mybreakeven.com/blogs/restaurant-business-plan/</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60"/>
      <w:outlineLvl w:val="0"/>
    </w:pPr>
    <w:rPr>
      <w:rFonts w:asciiTheme="majorHAnsi" w:eastAsiaTheme="majorEastAsia" w:hAnsiTheme="majorHAnsi" w:cstheme="majorBidi" w:ascii="Arial" w:hAnsi="Arial"/>
      <w:b/>
      <w:bCs/>
      <w:color w:val="174C59"/>
      <w:sz w:val="24"/>
      <w:szCs w:val="28"/>
    </w:rPr>
  </w:style>
  <w:style w:type="paragraph" w:styleId="Heading2">
    <w:name w:val="heading 2"/>
    <w:basedOn w:val="Normal"/>
    <w:next w:val="Normal"/>
    <w:link w:val="Heading2Char"/>
    <w:uiPriority w:val="9"/>
    <w:unhideWhenUsed/>
    <w:qFormat/>
    <w:rsid w:val="00FC693F"/>
    <w:pPr>
      <w:keepNext/>
      <w:keepLines/>
      <w:spacing w:before="180" w:after="60"/>
      <w:outlineLvl w:val="1"/>
    </w:pPr>
    <w:rPr>
      <w:rFonts w:asciiTheme="majorHAnsi" w:eastAsiaTheme="majorEastAsia" w:hAnsiTheme="majorHAnsi" w:cstheme="majorBidi" w:ascii="Arial" w:hAnsi="Arial"/>
      <w:b/>
      <w:bCs/>
      <w:color w:val="174C5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color w:val="15374F"/>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Restaurant Business Plan</dc:title>
  <dc:subject>Concept, service capacity and opening funding</dc:subject>
  <dc:creator>MyBreakeven</dc:creator>
  <cp:keywords/>
  <dc:description>generated by python-docx</dc:description>
  <cp:lastModifiedBy/>
  <cp:revision>1</cp:revision>
  <dcterms:created xsi:type="dcterms:W3CDTF">2013-12-23T23:15:00Z</dcterms:created>
  <dcterms:modified xsi:type="dcterms:W3CDTF">2013-12-23T23:15:00Z</dcterms:modified>
  <cp:category/>
</cp:coreProperties>
</file>