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8DC4C" w14:textId="77777777" w:rsidR="007C751D" w:rsidRDefault="00000000">
      <w:r>
        <w:t>budget_analysis</w:t>
      </w:r>
    </w:p>
    <w:p w14:paraId="0FB80796" w14:textId="77777777" w:rsidR="007C751D" w:rsidRDefault="00000000">
      <w:r>
        <w:t>বিভাগের বিগত ৫ অর্থবছরের বাজেট বরাদ্দ ও ব্যয়ের হিসাব পর্যালোচনা (সম্পদ ব্যবহারের সক্ষমতা)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266"/>
        <w:gridCol w:w="1266"/>
        <w:gridCol w:w="1266"/>
        <w:gridCol w:w="1269"/>
        <w:gridCol w:w="1266"/>
      </w:tblGrid>
      <w:tr w:rsidR="007C751D" w14:paraId="1B810897" w14:textId="77777777" w:rsidTr="002928B0">
        <w:trPr>
          <w:trHeight w:val="466"/>
          <w:tblHeader/>
          <w:jc w:val="center"/>
        </w:trPr>
        <w:tc>
          <w:tcPr>
            <w:tcW w:w="6333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7ACE8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বিভাগের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বাজেট</w:t>
            </w:r>
          </w:p>
        </w:tc>
      </w:tr>
      <w:tr w:rsidR="007C751D" w14:paraId="05CB2122" w14:textId="77777777" w:rsidTr="002928B0">
        <w:trPr>
          <w:trHeight w:val="1036"/>
          <w:tblHeader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3473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অর্থ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বছর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F27CD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মূল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বাজেট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বরাদ্দ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6A6C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সংশোধিত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বাজেট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বরাদ্দ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83EAA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প্রকৃত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ব্যয়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8BF9A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ব্যয়ের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শতকরা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হার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(%)</w:t>
            </w:r>
          </w:p>
        </w:tc>
      </w:tr>
      <w:tr w:rsidR="007C751D" w14:paraId="4B30D9A4" w14:textId="77777777" w:rsidTr="002928B0">
        <w:trPr>
          <w:trHeight w:val="434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2D2F1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2020-21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34D3B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1,410.32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6969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714.08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B131E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1,558.76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92298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90.48%</w:t>
            </w:r>
          </w:p>
        </w:tc>
      </w:tr>
      <w:tr w:rsidR="007C751D" w14:paraId="443ED7C5" w14:textId="77777777" w:rsidTr="002928B0">
        <w:trPr>
          <w:trHeight w:val="445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A39CD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2021-22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8436B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1,452.63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F2075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728.36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D185E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1,621.11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CD5B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89.61%</w:t>
            </w:r>
          </w:p>
        </w:tc>
      </w:tr>
      <w:tr w:rsidR="007C751D" w14:paraId="0D12B35B" w14:textId="77777777" w:rsidTr="002928B0">
        <w:trPr>
          <w:trHeight w:val="434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86CB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2022-23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EB11F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284.74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DBE89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411.00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38A86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381.94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62126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74.55%</w:t>
            </w:r>
          </w:p>
        </w:tc>
      </w:tr>
      <w:tr w:rsidR="007C751D" w14:paraId="3E41F532" w14:textId="77777777" w:rsidTr="002928B0">
        <w:trPr>
          <w:trHeight w:val="434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769FA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2023-24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94CF8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471.71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ACC4B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936.78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C190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568.24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851AC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83.01%</w:t>
            </w:r>
          </w:p>
        </w:tc>
      </w:tr>
      <w:tr w:rsidR="007C751D" w14:paraId="2B1F139E" w14:textId="77777777" w:rsidTr="002928B0">
        <w:trPr>
          <w:trHeight w:val="445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86479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2024-25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3193F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565.68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C74EE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917.93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EAFA4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702.65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516F9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80.51%</w:t>
            </w:r>
          </w:p>
        </w:tc>
      </w:tr>
      <w:tr w:rsidR="007C751D" w14:paraId="3DA1ED1F" w14:textId="77777777" w:rsidTr="002928B0">
        <w:trPr>
          <w:trHeight w:val="466"/>
          <w:jc w:val="center"/>
        </w:trPr>
        <w:tc>
          <w:tcPr>
            <w:tcW w:w="506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60F9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গত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৫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বছরের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গড়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সক্ষমতা</w:t>
            </w:r>
          </w:p>
        </w:tc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522B9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83.63%</w:t>
            </w:r>
          </w:p>
        </w:tc>
      </w:tr>
    </w:tbl>
    <w:p w14:paraId="081296E8" w14:textId="77777777" w:rsidR="007C751D" w:rsidRDefault="00000000">
      <w:r>
        <w:t>বিভাগের বিগত ৫ অর্থবছরের পরিচালন ব্যয়ের সক্ষমতা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195"/>
        <w:gridCol w:w="1195"/>
        <w:gridCol w:w="1195"/>
        <w:gridCol w:w="1198"/>
        <w:gridCol w:w="1196"/>
      </w:tblGrid>
      <w:tr w:rsidR="007C751D" w14:paraId="7FB88D09" w14:textId="77777777" w:rsidTr="002928B0">
        <w:trPr>
          <w:trHeight w:val="470"/>
          <w:tblHeader/>
          <w:jc w:val="center"/>
        </w:trPr>
        <w:tc>
          <w:tcPr>
            <w:tcW w:w="5979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3F130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পরিচালন</w:t>
            </w:r>
          </w:p>
        </w:tc>
      </w:tr>
      <w:tr w:rsidR="007C751D" w14:paraId="3350DFE2" w14:textId="77777777" w:rsidTr="002928B0">
        <w:trPr>
          <w:trHeight w:val="1044"/>
          <w:tblHeader/>
          <w:jc w:val="center"/>
        </w:trPr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780DD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অর্থ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বছর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77C05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মূল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বাজেট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বরাদ্দ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DAE9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সংশোধিত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বাজেট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বরাদ্দ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F0051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প্রকৃত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ব্যয়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BDED8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ব্যয়ের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শতকরা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হার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(%)</w:t>
            </w:r>
          </w:p>
        </w:tc>
      </w:tr>
      <w:tr w:rsidR="007C751D" w14:paraId="6F17B147" w14:textId="77777777" w:rsidTr="002928B0">
        <w:trPr>
          <w:trHeight w:val="438"/>
          <w:jc w:val="center"/>
        </w:trPr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9ABA8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2020-21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B1B9B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169.66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EDF67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175.20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D40F1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223.21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1452D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76.01%</w:t>
            </w:r>
          </w:p>
        </w:tc>
      </w:tr>
      <w:tr w:rsidR="007C751D" w14:paraId="61D89D8E" w14:textId="77777777" w:rsidTr="002928B0">
        <w:trPr>
          <w:trHeight w:val="448"/>
          <w:jc w:val="center"/>
        </w:trPr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8DA24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2021-22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57FE7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174.75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89F41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178.71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24E64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232.13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61AA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75.28%</w:t>
            </w:r>
          </w:p>
        </w:tc>
      </w:tr>
      <w:tr w:rsidR="007C751D" w14:paraId="29DF01EE" w14:textId="77777777" w:rsidTr="002928B0">
        <w:trPr>
          <w:trHeight w:val="438"/>
          <w:jc w:val="center"/>
        </w:trPr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12F38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2022-23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D60FE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159.71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ECE76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176.57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344B5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205.96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FA44E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77.54%</w:t>
            </w:r>
          </w:p>
        </w:tc>
      </w:tr>
      <w:tr w:rsidR="007C751D" w14:paraId="4139FA4D" w14:textId="77777777" w:rsidTr="002928B0">
        <w:trPr>
          <w:trHeight w:val="438"/>
          <w:jc w:val="center"/>
        </w:trPr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9C6C6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2023-24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B866C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171.93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0DE0A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203.34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2E266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238.78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448CF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72.00%</w:t>
            </w:r>
          </w:p>
        </w:tc>
      </w:tr>
      <w:tr w:rsidR="007C751D" w14:paraId="14A03DF8" w14:textId="77777777" w:rsidTr="002928B0">
        <w:trPr>
          <w:trHeight w:val="448"/>
          <w:jc w:val="center"/>
        </w:trPr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4324A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2024-25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A2451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174.45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FEC54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210.48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A0F2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251.17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3632C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69.46%</w:t>
            </w:r>
          </w:p>
        </w:tc>
      </w:tr>
      <w:tr w:rsidR="007C751D" w14:paraId="7A99EBBC" w14:textId="77777777" w:rsidTr="002928B0">
        <w:trPr>
          <w:trHeight w:val="470"/>
          <w:jc w:val="center"/>
        </w:trPr>
        <w:tc>
          <w:tcPr>
            <w:tcW w:w="478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6024C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গত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৫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বছরের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গড়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সক্ষমতা</w:t>
            </w:r>
          </w:p>
        </w:tc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30815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74.06%</w:t>
            </w:r>
          </w:p>
        </w:tc>
      </w:tr>
    </w:tbl>
    <w:p w14:paraId="7DF590E4" w14:textId="77777777" w:rsidR="007C751D" w:rsidRDefault="00000000">
      <w:r>
        <w:t>বিভাগের বিগত ৫ অর্থবছরের উন্নয়ন ব্যয়ের সক্ষমতা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268"/>
        <w:gridCol w:w="1268"/>
        <w:gridCol w:w="1268"/>
        <w:gridCol w:w="1271"/>
        <w:gridCol w:w="1269"/>
      </w:tblGrid>
      <w:tr w:rsidR="007C751D" w14:paraId="1BED3C73" w14:textId="77777777" w:rsidTr="002928B0">
        <w:trPr>
          <w:trHeight w:val="482"/>
          <w:tblHeader/>
          <w:jc w:val="center"/>
        </w:trPr>
        <w:tc>
          <w:tcPr>
            <w:tcW w:w="634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475EF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পরিচালন</w:t>
            </w:r>
          </w:p>
        </w:tc>
      </w:tr>
      <w:tr w:rsidR="007C751D" w14:paraId="763CDEA5" w14:textId="77777777" w:rsidTr="002928B0">
        <w:trPr>
          <w:trHeight w:val="1072"/>
          <w:tblHeader/>
          <w:jc w:val="center"/>
        </w:trPr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4CD75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অর্থ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বছর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AFEDC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মূল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বাজেট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বরাদ্দ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0136B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সংশোধিত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বাজেট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বরাদ্দ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5AD03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প্রকৃত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ব্যয়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B2E53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b/>
                <w:color w:val="000000"/>
                <w:sz w:val="22"/>
              </w:rPr>
            </w:pPr>
            <w:r>
              <w:rPr>
                <w:rFonts w:eastAsia="Arial" w:hAnsi="Arial" w:cs="Arial"/>
                <w:b/>
                <w:color w:val="000000"/>
                <w:sz w:val="22"/>
              </w:rPr>
              <w:t>ব্যয়ের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শতকরা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>হার</w:t>
            </w:r>
            <w:r>
              <w:rPr>
                <w:rFonts w:eastAsia="Arial" w:hAnsi="Arial" w:cs="Arial"/>
                <w:b/>
                <w:color w:val="000000"/>
                <w:sz w:val="22"/>
              </w:rPr>
              <w:t xml:space="preserve"> (%)</w:t>
            </w:r>
          </w:p>
        </w:tc>
      </w:tr>
      <w:tr w:rsidR="007C751D" w14:paraId="0B1C5D41" w14:textId="77777777" w:rsidTr="002928B0">
        <w:trPr>
          <w:trHeight w:val="449"/>
          <w:jc w:val="center"/>
        </w:trPr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65E80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2020-21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416F5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1,240.66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1B9A0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538.87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B1C7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1,335.56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F1BDA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92.89%</w:t>
            </w:r>
          </w:p>
        </w:tc>
      </w:tr>
      <w:tr w:rsidR="007C751D" w14:paraId="3D899FDD" w14:textId="77777777" w:rsidTr="002928B0">
        <w:trPr>
          <w:trHeight w:val="449"/>
          <w:jc w:val="center"/>
        </w:trPr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23F08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lastRenderedPageBreak/>
              <w:t>2021-22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90D7E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1,277.88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770B7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549.65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C036F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1,388.98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C82FB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92.00%</w:t>
            </w:r>
          </w:p>
        </w:tc>
      </w:tr>
      <w:tr w:rsidR="007C751D" w14:paraId="34A84E76" w14:textId="77777777" w:rsidTr="002928B0">
        <w:trPr>
          <w:trHeight w:val="460"/>
          <w:jc w:val="center"/>
        </w:trPr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6C277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2022-23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F3F9F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125.03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8A248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234.43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6971A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175.98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F65FD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71.05%</w:t>
            </w:r>
          </w:p>
        </w:tc>
      </w:tr>
      <w:tr w:rsidR="007C751D" w14:paraId="2876E012" w14:textId="77777777" w:rsidTr="002928B0">
        <w:trPr>
          <w:trHeight w:val="449"/>
          <w:jc w:val="center"/>
        </w:trPr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6DD8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2023-24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C997F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299.78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96BBD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733.44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6F9E5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329.46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D7D90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90.99%</w:t>
            </w:r>
          </w:p>
        </w:tc>
      </w:tr>
      <w:tr w:rsidR="007C751D" w14:paraId="40260D6F" w14:textId="77777777" w:rsidTr="002928B0">
        <w:trPr>
          <w:trHeight w:val="449"/>
          <w:jc w:val="center"/>
        </w:trPr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ED572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2024-25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F7E7B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391.22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42F7E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707.45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EC373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451.48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CE1FA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86.65%</w:t>
            </w:r>
          </w:p>
        </w:tc>
      </w:tr>
      <w:tr w:rsidR="007C751D" w14:paraId="75FD974A" w14:textId="77777777" w:rsidTr="002928B0">
        <w:trPr>
          <w:trHeight w:val="482"/>
          <w:jc w:val="center"/>
        </w:trPr>
        <w:tc>
          <w:tcPr>
            <w:tcW w:w="507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E3E75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গত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৫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বছরের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গড়</w:t>
            </w:r>
            <w:r>
              <w:rPr>
                <w:rFonts w:eastAsia="Arial" w:hAnsi="Arial" w:cs="Arial"/>
                <w:color w:val="000000"/>
                <w:sz w:val="22"/>
              </w:rPr>
              <w:t xml:space="preserve"> </w:t>
            </w:r>
            <w:r>
              <w:rPr>
                <w:rFonts w:eastAsia="Arial" w:hAnsi="Arial" w:cs="Arial"/>
                <w:color w:val="000000"/>
                <w:sz w:val="22"/>
              </w:rPr>
              <w:t>সক্ষমতা</w:t>
            </w:r>
          </w:p>
        </w:tc>
        <w:tc>
          <w:tcPr>
            <w:tcW w:w="1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ECDE4" w14:textId="77777777" w:rsidR="007C751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right"/>
              <w:rPr>
                <w:rFonts w:eastAsia="Arial" w:hAnsi="Arial" w:cs="Arial"/>
                <w:color w:val="000000"/>
                <w:sz w:val="22"/>
              </w:rPr>
            </w:pPr>
            <w:r>
              <w:rPr>
                <w:rFonts w:eastAsia="Arial" w:hAnsi="Arial" w:cs="Arial"/>
                <w:color w:val="000000"/>
                <w:sz w:val="22"/>
              </w:rPr>
              <w:t>86.72%</w:t>
            </w:r>
          </w:p>
        </w:tc>
      </w:tr>
    </w:tbl>
    <w:p w14:paraId="1CA1EEA4" w14:textId="77777777" w:rsidR="00F25D9B" w:rsidRDefault="00F25D9B"/>
    <w:sectPr w:rsidR="00F25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1C473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01998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2928B0"/>
    <w:rsid w:val="007C751D"/>
    <w:rsid w:val="00B10ADB"/>
    <w:rsid w:val="00D3763D"/>
    <w:rsid w:val="00DD1BE1"/>
    <w:rsid w:val="00EE7AEB"/>
    <w:rsid w:val="00F25D9B"/>
    <w:rsid w:val="00FE7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F4833"/>
  <w15:docId w15:val="{7F59CF0C-8CF0-4D4E-8014-1EC356882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ADB"/>
    <w:rPr>
      <w:rFonts w:ascii="NikoshBAN" w:hAnsi="NikoshB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ourceCode">
    <w:name w:val="Source Code"/>
    <w:basedOn w:val="Normal"/>
    <w:pPr>
      <w:shd w:val="clear" w:color="auto" w:fill="F1F3F5"/>
      <w:wordWrap w:val="0"/>
    </w:pPr>
  </w:style>
  <w:style w:type="character" w:customStyle="1" w:styleId="KeywordTok">
    <w:name w:val="KeywordTok"/>
    <w:rPr>
      <w:b/>
      <w:color w:val="003B4F"/>
      <w:shd w:val="clear" w:color="auto" w:fill="F1F3F5"/>
    </w:rPr>
  </w:style>
  <w:style w:type="character" w:customStyle="1" w:styleId="DataTypeTok">
    <w:name w:val="DataTypeTok"/>
    <w:rPr>
      <w:color w:val="AD0000"/>
      <w:shd w:val="clear" w:color="auto" w:fill="F1F3F5"/>
    </w:rPr>
  </w:style>
  <w:style w:type="character" w:customStyle="1" w:styleId="DecValTok">
    <w:name w:val="DecValTok"/>
    <w:rPr>
      <w:color w:val="AD0000"/>
      <w:shd w:val="clear" w:color="auto" w:fill="F1F3F5"/>
    </w:rPr>
  </w:style>
  <w:style w:type="character" w:customStyle="1" w:styleId="BaseNTok">
    <w:name w:val="BaseNTok"/>
    <w:rPr>
      <w:color w:val="AD0000"/>
      <w:shd w:val="clear" w:color="auto" w:fill="F1F3F5"/>
    </w:rPr>
  </w:style>
  <w:style w:type="character" w:customStyle="1" w:styleId="FloatTok">
    <w:name w:val="FloatTok"/>
    <w:rPr>
      <w:color w:val="AD0000"/>
      <w:shd w:val="clear" w:color="auto" w:fill="F1F3F5"/>
    </w:rPr>
  </w:style>
  <w:style w:type="character" w:customStyle="1" w:styleId="ConstantTok">
    <w:name w:val="ConstantTok"/>
    <w:rPr>
      <w:color w:val="8F5902"/>
      <w:shd w:val="clear" w:color="auto" w:fill="F1F3F5"/>
    </w:rPr>
  </w:style>
  <w:style w:type="character" w:customStyle="1" w:styleId="CharTok">
    <w:name w:val="CharTok"/>
    <w:rPr>
      <w:color w:val="20794D"/>
      <w:shd w:val="clear" w:color="auto" w:fill="F1F3F5"/>
    </w:rPr>
  </w:style>
  <w:style w:type="character" w:customStyle="1" w:styleId="SpecialCharTok">
    <w:name w:val="SpecialCharTok"/>
    <w:rPr>
      <w:color w:val="5E5E5E"/>
      <w:shd w:val="clear" w:color="auto" w:fill="F1F3F5"/>
    </w:rPr>
  </w:style>
  <w:style w:type="character" w:customStyle="1" w:styleId="StringTok">
    <w:name w:val="StringTok"/>
    <w:rPr>
      <w:color w:val="20794D"/>
      <w:shd w:val="clear" w:color="auto" w:fill="F1F3F5"/>
    </w:rPr>
  </w:style>
  <w:style w:type="character" w:customStyle="1" w:styleId="VerbatimStringTok">
    <w:name w:val="VerbatimStringTok"/>
    <w:rPr>
      <w:color w:val="20794D"/>
      <w:shd w:val="clear" w:color="auto" w:fill="F1F3F5"/>
    </w:rPr>
  </w:style>
  <w:style w:type="character" w:customStyle="1" w:styleId="SpecialStringTok">
    <w:name w:val="SpecialStringTok"/>
    <w:rPr>
      <w:color w:val="20794D"/>
      <w:shd w:val="clear" w:color="auto" w:fill="F1F3F5"/>
    </w:rPr>
  </w:style>
  <w:style w:type="character" w:customStyle="1" w:styleId="ImportTok">
    <w:name w:val="ImportTok"/>
    <w:rPr>
      <w:color w:val="00769E"/>
      <w:shd w:val="clear" w:color="auto" w:fill="F1F3F5"/>
    </w:rPr>
  </w:style>
  <w:style w:type="character" w:customStyle="1" w:styleId="CommentTok">
    <w:name w:val="CommentTok"/>
    <w:rPr>
      <w:color w:val="5E5E5E"/>
      <w:shd w:val="clear" w:color="auto" w:fill="F1F3F5"/>
    </w:rPr>
  </w:style>
  <w:style w:type="character" w:customStyle="1" w:styleId="DocumentationTok">
    <w:name w:val="DocumentationTok"/>
    <w:rPr>
      <w:i/>
      <w:color w:val="5E5E5E"/>
      <w:shd w:val="clear" w:color="auto" w:fill="F1F3F5"/>
    </w:rPr>
  </w:style>
  <w:style w:type="character" w:customStyle="1" w:styleId="AnnotationTok">
    <w:name w:val="AnnotationTok"/>
    <w:rPr>
      <w:color w:val="5E5E5E"/>
      <w:shd w:val="clear" w:color="auto" w:fill="F1F3F5"/>
    </w:rPr>
  </w:style>
  <w:style w:type="character" w:customStyle="1" w:styleId="CommentVarTok">
    <w:name w:val="CommentVarTok"/>
    <w:rPr>
      <w:i/>
      <w:color w:val="5E5E5E"/>
      <w:shd w:val="clear" w:color="auto" w:fill="F1F3F5"/>
    </w:rPr>
  </w:style>
  <w:style w:type="character" w:customStyle="1" w:styleId="OtherTok">
    <w:name w:val="OtherTok"/>
    <w:rPr>
      <w:color w:val="003B4F"/>
      <w:shd w:val="clear" w:color="auto" w:fill="F1F3F5"/>
    </w:rPr>
  </w:style>
  <w:style w:type="character" w:customStyle="1" w:styleId="FunctionTok">
    <w:name w:val="FunctionTok"/>
    <w:rPr>
      <w:color w:val="4758AB"/>
      <w:shd w:val="clear" w:color="auto" w:fill="F1F3F5"/>
    </w:rPr>
  </w:style>
  <w:style w:type="character" w:customStyle="1" w:styleId="VariableTok">
    <w:name w:val="VariableTok"/>
    <w:rPr>
      <w:color w:val="111111"/>
      <w:shd w:val="clear" w:color="auto" w:fill="F1F3F5"/>
    </w:rPr>
  </w:style>
  <w:style w:type="character" w:customStyle="1" w:styleId="ControlFlowTok">
    <w:name w:val="ControlFlowTok"/>
    <w:rPr>
      <w:b/>
      <w:color w:val="003B4F"/>
      <w:shd w:val="clear" w:color="auto" w:fill="F1F3F5"/>
    </w:rPr>
  </w:style>
  <w:style w:type="character" w:customStyle="1" w:styleId="OperatorTok">
    <w:name w:val="OperatorTok"/>
    <w:rPr>
      <w:color w:val="5E5E5E"/>
      <w:shd w:val="clear" w:color="auto" w:fill="F1F3F5"/>
    </w:rPr>
  </w:style>
  <w:style w:type="character" w:customStyle="1" w:styleId="BuiltInTok">
    <w:name w:val="BuiltInTok"/>
    <w:rPr>
      <w:color w:val="003B4F"/>
      <w:shd w:val="clear" w:color="auto" w:fill="F1F3F5"/>
    </w:rPr>
  </w:style>
  <w:style w:type="character" w:customStyle="1" w:styleId="ExtensionTok">
    <w:name w:val="ExtensionTok"/>
    <w:rPr>
      <w:color w:val="003B4F"/>
      <w:shd w:val="clear" w:color="auto" w:fill="F1F3F5"/>
    </w:rPr>
  </w:style>
  <w:style w:type="character" w:customStyle="1" w:styleId="PreprocessorTok">
    <w:name w:val="PreprocessorTok"/>
    <w:rPr>
      <w:color w:val="AD0000"/>
      <w:shd w:val="clear" w:color="auto" w:fill="F1F3F5"/>
    </w:rPr>
  </w:style>
  <w:style w:type="character" w:customStyle="1" w:styleId="AttributeTok">
    <w:name w:val="AttributeTok"/>
    <w:rPr>
      <w:color w:val="657422"/>
      <w:shd w:val="clear" w:color="auto" w:fill="F1F3F5"/>
    </w:rPr>
  </w:style>
  <w:style w:type="character" w:customStyle="1" w:styleId="RegionMarkerTok">
    <w:name w:val="RegionMarkerTok"/>
    <w:rPr>
      <w:color w:val="003B4F"/>
      <w:shd w:val="clear" w:color="auto" w:fill="F1F3F5"/>
    </w:rPr>
  </w:style>
  <w:style w:type="character" w:customStyle="1" w:styleId="InformationTok">
    <w:name w:val="InformationTok"/>
    <w:rPr>
      <w:color w:val="5E5E5E"/>
      <w:shd w:val="clear" w:color="auto" w:fill="F1F3F5"/>
    </w:rPr>
  </w:style>
  <w:style w:type="character" w:customStyle="1" w:styleId="WarningTok">
    <w:name w:val="WarningTok"/>
    <w:rPr>
      <w:i/>
      <w:color w:val="5E5E5E"/>
      <w:shd w:val="clear" w:color="auto" w:fill="F1F3F5"/>
    </w:rPr>
  </w:style>
  <w:style w:type="character" w:customStyle="1" w:styleId="AlertTok">
    <w:name w:val="AlertTok"/>
    <w:rPr>
      <w:color w:val="AD0000"/>
      <w:shd w:val="clear" w:color="auto" w:fill="F1F3F5"/>
    </w:rPr>
  </w:style>
  <w:style w:type="character" w:customStyle="1" w:styleId="ErrorTok">
    <w:name w:val="ErrorTok"/>
    <w:rPr>
      <w:color w:val="AD0000"/>
      <w:shd w:val="clear" w:color="auto" w:fill="F1F3F5"/>
    </w:rPr>
  </w:style>
  <w:style w:type="character" w:customStyle="1" w:styleId="NormalTok">
    <w:name w:val="NormalTok"/>
    <w:rPr>
      <w:color w:val="003B4F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cp:lastModifiedBy>Anisur Bali</cp:lastModifiedBy>
  <cp:revision>2</cp:revision>
  <dcterms:created xsi:type="dcterms:W3CDTF">2026-09-25T19:41:00Z</dcterms:created>
  <dcterms:modified xsi:type="dcterms:W3CDTF">2026-09-25T19:42:00Z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