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16C06306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1066</w:t>
      </w:r>
    </w:p>
    <w:p w14:paraId="3B340B77" w14:textId="0CC21FCF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</w:t>
      </w:r>
      <w:r w:rsidR="005B62A3">
        <w:rPr>
          <w:sz w:val="26"/>
          <w:szCs w:val="26"/>
        </w:rPr>
        <w:t>TE</w:t>
      </w:r>
    </w:p>
    <w:p w14:paraId="7B5F94A8" w14:textId="59D0A642" w:rsidR="003B2FF6" w:rsidRPr="002768AC" w:rsidRDefault="002768AC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Classification: As 4882-2003: SG-A</w:t>
      </w:r>
      <w:r w:rsidR="005B62A3">
        <w:rPr>
          <w:sz w:val="26"/>
          <w:szCs w:val="26"/>
        </w:rPr>
        <w:t>C</w:t>
      </w:r>
      <w:r w:rsidRPr="002768AC">
        <w:rPr>
          <w:sz w:val="26"/>
          <w:szCs w:val="26"/>
        </w:rPr>
        <w:t>-10</w:t>
      </w:r>
      <w:r w:rsidR="009D0541">
        <w:rPr>
          <w:sz w:val="26"/>
          <w:szCs w:val="26"/>
        </w:rPr>
        <w:t>;</w:t>
      </w:r>
      <w:r w:rsidR="009D0541" w:rsidRPr="009D0541">
        <w:rPr>
          <w:sz w:val="26"/>
          <w:szCs w:val="26"/>
        </w:rPr>
        <w:t xml:space="preserve"> </w:t>
      </w:r>
      <w:r w:rsidR="009D0541" w:rsidRPr="002768AC">
        <w:rPr>
          <w:sz w:val="26"/>
          <w:szCs w:val="26"/>
        </w:rPr>
        <w:t>SG-A</w:t>
      </w:r>
      <w:r w:rsidR="009D0541">
        <w:rPr>
          <w:sz w:val="26"/>
          <w:szCs w:val="26"/>
        </w:rPr>
        <w:t>C</w:t>
      </w:r>
      <w:r w:rsidR="009D0541" w:rsidRPr="002768AC">
        <w:rPr>
          <w:sz w:val="26"/>
          <w:szCs w:val="26"/>
        </w:rPr>
        <w:t>-1</w:t>
      </w:r>
      <w:r w:rsidR="009D0541">
        <w:rPr>
          <w:sz w:val="26"/>
          <w:szCs w:val="26"/>
        </w:rPr>
        <w:t>8;</w:t>
      </w:r>
      <w:r w:rsidR="009D0541" w:rsidRPr="009D0541">
        <w:rPr>
          <w:sz w:val="26"/>
          <w:szCs w:val="26"/>
        </w:rPr>
        <w:t xml:space="preserve"> </w:t>
      </w:r>
      <w:r w:rsidR="009D0541" w:rsidRPr="002768AC">
        <w:rPr>
          <w:sz w:val="26"/>
          <w:szCs w:val="26"/>
        </w:rPr>
        <w:t>SG-A</w:t>
      </w:r>
      <w:r w:rsidR="009D0541">
        <w:rPr>
          <w:sz w:val="26"/>
          <w:szCs w:val="26"/>
        </w:rPr>
        <w:t>C</w:t>
      </w:r>
      <w:r w:rsidR="009D0541" w:rsidRPr="002768AC">
        <w:rPr>
          <w:sz w:val="26"/>
          <w:szCs w:val="26"/>
        </w:rPr>
        <w:t>-</w:t>
      </w:r>
      <w:r w:rsidR="009D0541">
        <w:rPr>
          <w:sz w:val="26"/>
          <w:szCs w:val="26"/>
        </w:rPr>
        <w:t>23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1D16A006" w:rsidR="003B2FF6" w:rsidRPr="002768AC" w:rsidRDefault="00124C26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124C26" w:rsidP="00B87C48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1pt;height:146.15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9D0541">
        <w:t>Argon 1</w:t>
      </w:r>
      <w:r w:rsidR="007826F9">
        <w:t>0/18/23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3057EA09" w:rsidR="00B87C48" w:rsidRDefault="00B87C48" w:rsidP="002768AC">
      <w:pPr>
        <w:pStyle w:val="ListBullet"/>
        <w:numPr>
          <w:ilvl w:val="0"/>
          <w:numId w:val="0"/>
        </w:numPr>
      </w:pPr>
    </w:p>
    <w:p w14:paraId="37BA3915" w14:textId="77777777" w:rsidR="007826F9" w:rsidRDefault="007826F9" w:rsidP="002768AC">
      <w:pPr>
        <w:pStyle w:val="ListBullet"/>
        <w:numPr>
          <w:ilvl w:val="0"/>
          <w:numId w:val="0"/>
        </w:numPr>
      </w:pPr>
    </w:p>
    <w:p w14:paraId="208A4AE6" w14:textId="77777777" w:rsidR="00CC2D8E" w:rsidRDefault="00CC2D8E" w:rsidP="007826F9">
      <w:pPr>
        <w:pStyle w:val="ListBullet"/>
        <w:numPr>
          <w:ilvl w:val="0"/>
          <w:numId w:val="0"/>
        </w:numPr>
        <w:jc w:val="right"/>
      </w:pPr>
    </w:p>
    <w:p w14:paraId="4C7A2A34" w14:textId="034F9EC3" w:rsidR="003B2FF6" w:rsidRDefault="003B2FF6" w:rsidP="007826F9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2764"/>
        <w:gridCol w:w="2877"/>
      </w:tblGrid>
      <w:tr w:rsidR="007826F9" w14:paraId="00EDEDAB" w14:textId="77777777" w:rsidTr="00CC2D8E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7826F9" w:rsidRPr="009D054A" w:rsidRDefault="007826F9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64D14E09" w14:textId="28E5D8FE" w:rsidR="007826F9" w:rsidRPr="009D054A" w:rsidRDefault="007826F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E</w:t>
            </w:r>
            <w:r w:rsidRPr="009D054A">
              <w:t xml:space="preserve">  Cyl.</w:t>
            </w:r>
          </w:p>
        </w:tc>
        <w:tc>
          <w:tcPr>
            <w:tcW w:w="2877" w:type="dxa"/>
            <w:shd w:val="pct10" w:color="auto" w:fill="auto"/>
            <w:vAlign w:val="center"/>
          </w:tcPr>
          <w:p w14:paraId="15DE018B" w14:textId="29ABDF52" w:rsidR="007826F9" w:rsidRPr="009D054A" w:rsidRDefault="007826F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G</w:t>
            </w:r>
            <w:r w:rsidRPr="009D054A">
              <w:t xml:space="preserve">  Cyl.</w:t>
            </w:r>
          </w:p>
        </w:tc>
      </w:tr>
      <w:tr w:rsidR="007826F9" w14:paraId="2C78B581" w14:textId="77777777" w:rsidTr="00CC2D8E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7826F9" w:rsidRPr="003B2FF6" w:rsidRDefault="007826F9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5D5824B2" w14:textId="1F10184B" w:rsidR="007826F9" w:rsidRPr="00317A40" w:rsidRDefault="007826F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4.3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7E6965F0" w14:textId="08D6DEB4" w:rsidR="007826F9" w:rsidRPr="00317A40" w:rsidRDefault="007826F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10.0</w:t>
            </w:r>
          </w:p>
        </w:tc>
      </w:tr>
      <w:tr w:rsidR="007826F9" w14:paraId="6C5C9ADA" w14:textId="77777777" w:rsidTr="00CC2D8E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7826F9" w:rsidRPr="00317A40" w:rsidRDefault="007826F9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4DA6B9FF" w14:textId="65DD6593" w:rsidR="007826F9" w:rsidRPr="00317A40" w:rsidRDefault="00B9490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07DAB4F4" w14:textId="71FC931C" w:rsidR="007826F9" w:rsidRPr="00317A40" w:rsidRDefault="00B9490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7826F9" w14:paraId="3655CF35" w14:textId="77777777" w:rsidTr="00CC2D8E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7826F9" w:rsidRPr="003B2FF6" w:rsidRDefault="007826F9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18657BDC" w14:textId="1E32B793" w:rsidR="007826F9" w:rsidRPr="00317A40" w:rsidRDefault="00B9490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16,500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1195AE8B" w14:textId="1893977F" w:rsidR="007826F9" w:rsidRPr="00317A40" w:rsidRDefault="00B9490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17,000</w:t>
            </w:r>
          </w:p>
        </w:tc>
      </w:tr>
      <w:tr w:rsidR="00317A40" w14:paraId="190F881A" w14:textId="77777777" w:rsidTr="00CC2D8E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7971AD3A" w14:textId="63BF7EA7" w:rsidR="00317A40" w:rsidRPr="00317A40" w:rsidRDefault="00B9490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Peacock Blue/</w:t>
            </w:r>
            <w:r w:rsidR="00716922">
              <w:t>Green Grey Shoulder</w:t>
            </w:r>
          </w:p>
        </w:tc>
      </w:tr>
      <w:tr w:rsidR="007826F9" w14:paraId="18C6968E" w14:textId="77777777" w:rsidTr="00CC2D8E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7826F9" w:rsidRPr="003B2FF6" w:rsidRDefault="007826F9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341B5CDF" w14:textId="4C78716D" w:rsidR="007826F9" w:rsidRPr="00317A40" w:rsidRDefault="0071692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10</w:t>
            </w:r>
          </w:p>
        </w:tc>
      </w:tr>
      <w:tr w:rsidR="007826F9" w14:paraId="0E1608CE" w14:textId="77777777" w:rsidTr="00CC2D8E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7826F9" w:rsidRPr="00317A40" w:rsidRDefault="007826F9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7826F9" w:rsidRDefault="007826F9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7826F9" w:rsidRPr="00317A40" w:rsidRDefault="007826F9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71964176" w14:textId="77777777" w:rsidR="007826F9" w:rsidRDefault="0071692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780</w:t>
            </w:r>
          </w:p>
          <w:p w14:paraId="024508B1" w14:textId="68618A78" w:rsidR="00716922" w:rsidRPr="00B27F4C" w:rsidRDefault="0071692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AF35546" w14:textId="77777777" w:rsidR="007826F9" w:rsidRDefault="0071692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00186084" w:rsidR="00716922" w:rsidRPr="00B27F4C" w:rsidRDefault="00716922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764"/>
        <w:gridCol w:w="2877"/>
      </w:tblGrid>
      <w:tr w:rsidR="00965842" w14:paraId="7910D6D1" w14:textId="77777777" w:rsidTr="00CC2D8E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965842" w:rsidRPr="009D054A" w:rsidRDefault="00965842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0AE901B7" w14:textId="0EFAC5DD" w:rsidR="00965842" w:rsidRPr="009D054A" w:rsidRDefault="0032105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Ar</w:t>
            </w:r>
          </w:p>
        </w:tc>
        <w:tc>
          <w:tcPr>
            <w:tcW w:w="2877" w:type="dxa"/>
            <w:shd w:val="pct10" w:color="auto" w:fill="auto"/>
            <w:vAlign w:val="center"/>
          </w:tcPr>
          <w:p w14:paraId="265A80ED" w14:textId="45856A67" w:rsidR="00965842" w:rsidRPr="009D054A" w:rsidRDefault="0032105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</w:t>
            </w:r>
            <w:r w:rsidR="00965842" w:rsidRPr="009D054A">
              <w:t>O</w:t>
            </w:r>
            <w:r w:rsidR="00965842" w:rsidRPr="004850E0">
              <w:rPr>
                <w:vertAlign w:val="subscript"/>
              </w:rPr>
              <w:t>2</w:t>
            </w:r>
          </w:p>
        </w:tc>
      </w:tr>
      <w:tr w:rsidR="00965842" w14:paraId="1A693D62" w14:textId="77777777" w:rsidTr="00CC2D8E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5E3C3CED" w:rsidR="00965842" w:rsidRPr="003B2FF6" w:rsidRDefault="00965842" w:rsidP="004B1803">
            <w:pPr>
              <w:pStyle w:val="ListBullet"/>
              <w:numPr>
                <w:ilvl w:val="0"/>
                <w:numId w:val="0"/>
              </w:numPr>
            </w:pPr>
            <w:r>
              <w:t>Argon 10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31DBB2C6" w14:textId="3C1A5A8F" w:rsidR="00965842" w:rsidRPr="00317A40" w:rsidRDefault="0032105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Balance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36F2848" w14:textId="52507933" w:rsidR="00965842" w:rsidRPr="00317A40" w:rsidRDefault="007132D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10%±1%</w:t>
            </w:r>
          </w:p>
        </w:tc>
      </w:tr>
      <w:tr w:rsidR="00965842" w14:paraId="4E20A7FB" w14:textId="77777777" w:rsidTr="00CC2D8E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264894E" w14:textId="680EFF10" w:rsidR="00965842" w:rsidRPr="00317A40" w:rsidRDefault="00965842" w:rsidP="004B1803">
            <w:pPr>
              <w:pStyle w:val="ListBullet"/>
              <w:numPr>
                <w:ilvl w:val="0"/>
                <w:numId w:val="0"/>
              </w:numPr>
            </w:pPr>
            <w:r>
              <w:t>Argon 18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75F451B8" w14:textId="24555C72" w:rsidR="00965842" w:rsidRPr="00317A40" w:rsidRDefault="0032105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Balance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5007965F" w14:textId="0B7CF099" w:rsidR="00965842" w:rsidRPr="00317A40" w:rsidRDefault="007132D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</w:t>
            </w:r>
            <w:r w:rsidR="007F7526">
              <w:t>%</w:t>
            </w:r>
            <w:r>
              <w:t>±1%</w:t>
            </w:r>
          </w:p>
        </w:tc>
      </w:tr>
      <w:tr w:rsidR="00965842" w14:paraId="07894D82" w14:textId="77777777" w:rsidTr="00CC2D8E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5D9307C" w14:textId="7F321CEC" w:rsidR="00965842" w:rsidRPr="003B2FF6" w:rsidRDefault="00965842" w:rsidP="004B1803">
            <w:pPr>
              <w:pStyle w:val="ListBullet"/>
              <w:numPr>
                <w:ilvl w:val="0"/>
                <w:numId w:val="0"/>
              </w:numPr>
            </w:pPr>
            <w:r>
              <w:t>Argon 23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0825D8E5" w14:textId="79C848E4" w:rsidR="00965842" w:rsidRPr="00317A40" w:rsidRDefault="0032105E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Balance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664BDDCF" w14:textId="6D3453BA" w:rsidR="00965842" w:rsidRPr="00317A40" w:rsidRDefault="007132D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  <w:r w:rsidR="007F7526">
              <w:t>%±1%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CC2D8E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70959BF0" w14:textId="77777777" w:rsidR="00F35511" w:rsidRPr="002D1240" w:rsidRDefault="00F35511" w:rsidP="00F35511">
      <w:pPr>
        <w:pStyle w:val="Heading3"/>
      </w:pPr>
      <w:bookmarkStart w:id="0" w:name="_Toc40259696"/>
      <w:r w:rsidRPr="002D1240">
        <w:t>Description</w:t>
      </w:r>
      <w:bookmarkEnd w:id="0"/>
      <w:r w:rsidRPr="002D1240">
        <w:t xml:space="preserve"> </w:t>
      </w:r>
    </w:p>
    <w:p w14:paraId="3E69BC98" w14:textId="77777777" w:rsidR="00F35511" w:rsidRPr="002D1240" w:rsidRDefault="00F35511" w:rsidP="00F35511">
      <w:pPr>
        <w:pStyle w:val="Heading3"/>
      </w:pPr>
      <w:bookmarkStart w:id="1" w:name="_Toc40259697"/>
      <w:r w:rsidRPr="002D1240">
        <w:t>ARGON 10</w:t>
      </w:r>
      <w:bookmarkEnd w:id="1"/>
    </w:p>
    <w:p w14:paraId="7974DDB2" w14:textId="2ED2C50A" w:rsidR="00F35511" w:rsidRPr="002D1240" w:rsidRDefault="0049041A" w:rsidP="00F35511">
      <w:pPr>
        <w:pStyle w:val="TableStyle2"/>
        <w:rPr>
          <w:rFonts w:ascii="Calibri" w:hAnsi="Calibri"/>
        </w:rPr>
      </w:pPr>
      <w:r>
        <w:rPr>
          <w:rFonts w:ascii="Calibri" w:hAnsi="Calibri"/>
          <w:lang w:val="en-US"/>
        </w:rPr>
        <w:t>A</w:t>
      </w:r>
      <w:r w:rsidR="00F35511" w:rsidRPr="002D1240">
        <w:rPr>
          <w:rFonts w:ascii="Calibri" w:hAnsi="Calibri"/>
          <w:lang w:val="en-US"/>
        </w:rPr>
        <w:t xml:space="preserve"> true general purpose MIG Welding shielding gas designed to provide </w:t>
      </w:r>
      <w:proofErr w:type="gramStart"/>
      <w:r w:rsidR="00760176">
        <w:rPr>
          <w:rFonts w:ascii="Calibri" w:hAnsi="Calibri"/>
          <w:lang w:val="en-US"/>
        </w:rPr>
        <w:t>very</w:t>
      </w:r>
      <w:r w:rsidR="00F35511" w:rsidRPr="002D1240">
        <w:rPr>
          <w:rFonts w:ascii="Calibri" w:hAnsi="Calibri"/>
          <w:lang w:val="en-US"/>
        </w:rPr>
        <w:t xml:space="preserve"> low</w:t>
      </w:r>
      <w:proofErr w:type="gramEnd"/>
      <w:r w:rsidR="00F35511" w:rsidRPr="002D1240">
        <w:rPr>
          <w:rFonts w:ascii="Calibri" w:hAnsi="Calibri"/>
          <w:lang w:val="en-US"/>
        </w:rPr>
        <w:t xml:space="preserve"> spatter levels whilst delivering high travel / welding speeds and reduced welding fume levels to help protect workers. </w:t>
      </w:r>
    </w:p>
    <w:p w14:paraId="1369E4A3" w14:textId="66DDD484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Additionally</w:t>
      </w:r>
      <w:r w:rsidR="00760176">
        <w:rPr>
          <w:rFonts w:ascii="Calibri" w:hAnsi="Calibri"/>
          <w:lang w:val="en-US"/>
        </w:rPr>
        <w:t>,</w:t>
      </w:r>
      <w:r w:rsidRPr="002D1240">
        <w:rPr>
          <w:rFonts w:ascii="Calibri" w:hAnsi="Calibri"/>
          <w:lang w:val="en-US"/>
        </w:rPr>
        <w:t xml:space="preserve"> resultant weld metal exhibits </w:t>
      </w:r>
      <w:proofErr w:type="gramStart"/>
      <w:r w:rsidRPr="002D1240">
        <w:rPr>
          <w:rFonts w:ascii="Calibri" w:hAnsi="Calibri"/>
          <w:lang w:val="en-US"/>
        </w:rPr>
        <w:t>very low</w:t>
      </w:r>
      <w:proofErr w:type="gramEnd"/>
      <w:r w:rsidRPr="002D1240">
        <w:rPr>
          <w:rFonts w:ascii="Calibri" w:hAnsi="Calibri"/>
          <w:lang w:val="en-US"/>
        </w:rPr>
        <w:t xml:space="preserve"> deposited silica levels and excellent weld penetration profiles that can help reduce over-welding. </w:t>
      </w:r>
    </w:p>
    <w:p w14:paraId="6074F523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01ED3B33" w14:textId="77777777" w:rsidR="00F35511" w:rsidRPr="002D1240" w:rsidRDefault="00F35511" w:rsidP="00F35511">
      <w:pPr>
        <w:pStyle w:val="Heading3"/>
      </w:pPr>
      <w:bookmarkStart w:id="2" w:name="_Toc40259698"/>
      <w:r w:rsidRPr="002D1240">
        <w:t>ARGON 18</w:t>
      </w:r>
      <w:bookmarkEnd w:id="2"/>
    </w:p>
    <w:p w14:paraId="0504D432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 shielding gas mixture which provides weld of excellent appearance. Suitable for use on low alloy, high tensile, quenched and tempered steels. Suitable for solid wires and some flux core wires.</w:t>
      </w:r>
    </w:p>
    <w:p w14:paraId="254D2C47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1CA86D69" w14:textId="77777777" w:rsidR="00F35511" w:rsidRPr="002D1240" w:rsidRDefault="00F35511" w:rsidP="00F35511">
      <w:pPr>
        <w:pStyle w:val="Heading3"/>
      </w:pPr>
      <w:bookmarkStart w:id="3" w:name="_Toc40259699"/>
      <w:r w:rsidRPr="002D1240">
        <w:t>ARGON 23</w:t>
      </w:r>
      <w:bookmarkEnd w:id="3"/>
    </w:p>
    <w:p w14:paraId="047A26A2" w14:textId="0ABB7401" w:rsidR="00F35511" w:rsidRPr="002D1240" w:rsidRDefault="00760176" w:rsidP="00F35511">
      <w:pPr>
        <w:pStyle w:val="TableStyle2"/>
        <w:rPr>
          <w:rFonts w:ascii="Calibri" w:hAnsi="Calibri"/>
        </w:rPr>
      </w:pPr>
      <w:r>
        <w:rPr>
          <w:rFonts w:ascii="Calibri" w:hAnsi="Calibri"/>
          <w:lang w:val="en-US"/>
        </w:rPr>
        <w:t>W</w:t>
      </w:r>
      <w:r w:rsidR="00F35511" w:rsidRPr="002D1240">
        <w:rPr>
          <w:rFonts w:ascii="Calibri" w:hAnsi="Calibri"/>
          <w:lang w:val="en-US"/>
        </w:rPr>
        <w:t xml:space="preserve">ith a high </w:t>
      </w:r>
      <w:r w:rsidR="00F35511" w:rsidRPr="002D1240">
        <w:rPr>
          <w:rFonts w:ascii="Calibri" w:hAnsi="Calibri"/>
        </w:rPr>
        <w:t>CO₂</w:t>
      </w:r>
      <w:r w:rsidR="00F35511" w:rsidRPr="002D1240">
        <w:rPr>
          <w:rFonts w:ascii="Calibri" w:hAnsi="Calibri"/>
          <w:lang w:val="en-US"/>
        </w:rPr>
        <w:t xml:space="preserve"> concentration</w:t>
      </w:r>
      <w:r w:rsidR="009E3D5B">
        <w:rPr>
          <w:rFonts w:ascii="Calibri" w:hAnsi="Calibri"/>
          <w:lang w:val="en-US"/>
        </w:rPr>
        <w:t>,</w:t>
      </w:r>
      <w:r w:rsidR="00F35511" w:rsidRPr="002D1240">
        <w:rPr>
          <w:rFonts w:ascii="Calibri" w:hAnsi="Calibri"/>
          <w:lang w:val="en-US"/>
        </w:rPr>
        <w:t xml:space="preserve"> displays excellent dip transfer performance on steel over 10mm in vertical and overhead positions. </w:t>
      </w:r>
    </w:p>
    <w:p w14:paraId="5D28C9A3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It is the ideal choice for fast out-of-position welding of heavy sections and offers excellent root penetration and side fusion. Argon 23 is particularly suited to the welding of heavy duty tubular sections. </w:t>
      </w:r>
    </w:p>
    <w:p w14:paraId="00CC5DEE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3B3C17E0" w14:textId="77777777" w:rsidR="00F35511" w:rsidRPr="002D1240" w:rsidRDefault="00F35511" w:rsidP="00F35511">
      <w:pPr>
        <w:pStyle w:val="Heading3"/>
      </w:pPr>
      <w:bookmarkStart w:id="4" w:name="_Toc40259700"/>
      <w:r w:rsidRPr="002D1240">
        <w:t>Typical Uses</w:t>
      </w:r>
      <w:bookmarkEnd w:id="4"/>
    </w:p>
    <w:p w14:paraId="0B6CD0DC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689536C0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10, 18 and 23 are used for:</w:t>
      </w:r>
    </w:p>
    <w:p w14:paraId="3F6251BF" w14:textId="1BF8A733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</w:t>
      </w:r>
      <w:r w:rsidR="009E3D5B">
        <w:rPr>
          <w:rFonts w:ascii="Calibri" w:hAnsi="Calibri"/>
          <w:lang w:val="en-US"/>
        </w:rPr>
        <w:t>IG W</w:t>
      </w:r>
      <w:r w:rsidRPr="002D1240">
        <w:rPr>
          <w:rFonts w:ascii="Calibri" w:hAnsi="Calibri"/>
          <w:lang w:val="en-US"/>
        </w:rPr>
        <w:t xml:space="preserve">elding of Mild and Carbon Manganese Steels </w:t>
      </w:r>
    </w:p>
    <w:p w14:paraId="6815A805" w14:textId="159BF6AE" w:rsidR="00F35511" w:rsidRPr="002D1240" w:rsidRDefault="00A260D1" w:rsidP="00A260D1">
      <w:pPr>
        <w:pStyle w:val="Heading3"/>
      </w:pPr>
      <w:r>
        <w:br w:type="column"/>
      </w:r>
      <w:r w:rsidR="00372A11">
        <w:t>A</w:t>
      </w:r>
      <w:r w:rsidR="00F35511" w:rsidRPr="002D1240">
        <w:t xml:space="preserve">dvantages </w:t>
      </w:r>
    </w:p>
    <w:p w14:paraId="03B2A63D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ARGON 10 - general purpose, medium thickness, good penetration, </w:t>
      </w:r>
      <w:proofErr w:type="gramStart"/>
      <w:r w:rsidRPr="002D1240">
        <w:rPr>
          <w:rFonts w:ascii="Calibri" w:hAnsi="Calibri"/>
          <w:lang w:val="en-US"/>
        </w:rPr>
        <w:t>very low</w:t>
      </w:r>
      <w:proofErr w:type="gramEnd"/>
      <w:r w:rsidRPr="002D1240">
        <w:rPr>
          <w:rFonts w:ascii="Calibri" w:hAnsi="Calibri"/>
          <w:lang w:val="en-US"/>
        </w:rPr>
        <w:t xml:space="preserve"> spatter</w:t>
      </w:r>
    </w:p>
    <w:p w14:paraId="77A02BA1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18 - heavy section, deep penetration, low to medium spatter</w:t>
      </w:r>
    </w:p>
    <w:p w14:paraId="56B6A58A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23 - very heavy sections, deep penetration, low to medium spatter</w:t>
      </w:r>
    </w:p>
    <w:p w14:paraId="37F98842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7AED1FBE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The </w:t>
      </w:r>
      <w:r w:rsidRPr="002D1240">
        <w:rPr>
          <w:rFonts w:ascii="Calibri" w:hAnsi="Calibri"/>
        </w:rPr>
        <w:t>CO₂</w:t>
      </w:r>
      <w:r w:rsidRPr="002D1240">
        <w:rPr>
          <w:rFonts w:ascii="Calibri" w:hAnsi="Calibri"/>
          <w:lang w:val="en-US"/>
        </w:rPr>
        <w:t xml:space="preserve"> content in these gases is ideal for welding galvanised metals.</w:t>
      </w:r>
    </w:p>
    <w:p w14:paraId="75E7BF12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569A09E7" w14:textId="77777777" w:rsidR="00F35511" w:rsidRPr="002D1240" w:rsidRDefault="00F35511" w:rsidP="00F35511">
      <w:pPr>
        <w:pStyle w:val="Heading3"/>
      </w:pPr>
      <w:bookmarkStart w:id="5" w:name="_Toc40259701"/>
      <w:r w:rsidRPr="002D1240">
        <w:t>Main hazards</w:t>
      </w:r>
      <w:bookmarkEnd w:id="5"/>
    </w:p>
    <w:p w14:paraId="762C6A32" w14:textId="77777777" w:rsidR="00F35511" w:rsidRPr="002D1240" w:rsidRDefault="00F35511" w:rsidP="00F35511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Compressed high pressure gas in cylinders</w:t>
      </w:r>
    </w:p>
    <w:p w14:paraId="20F3022B" w14:textId="77777777" w:rsidR="00F35511" w:rsidRPr="002D1240" w:rsidRDefault="00F35511" w:rsidP="00F35511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Asphyxiant in high concentrations.</w:t>
      </w:r>
    </w:p>
    <w:p w14:paraId="25A6E4CB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0EA409EE" w14:textId="77777777" w:rsidR="00F35511" w:rsidRPr="002D1240" w:rsidRDefault="00F35511" w:rsidP="00F35511">
      <w:pPr>
        <w:pStyle w:val="Heading3"/>
      </w:pPr>
      <w:bookmarkStart w:id="6" w:name="_Toc40259702"/>
      <w:r w:rsidRPr="002D1240">
        <w:t>Storage and handling</w:t>
      </w:r>
      <w:bookmarkEnd w:id="6"/>
    </w:p>
    <w:p w14:paraId="78FDEE7F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Ensure adequate ventilation for all cylinders and packs. Secure single cylinders in upright position and protect valves and manifolds from accidental damage. </w:t>
      </w:r>
    </w:p>
    <w:p w14:paraId="40B37127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3F08B81D" w14:textId="77777777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cylinders and packs in a cool area away from all sources of heat.</w:t>
      </w:r>
    </w:p>
    <w:p w14:paraId="4C8C0D4C" w14:textId="77777777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all valves when not in use.</w:t>
      </w:r>
    </w:p>
    <w:p w14:paraId="33E6F181" w14:textId="77777777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Ensure all regulators and other devices attached to the cylinder outlets are free from oil and grease, and able to withstand contents pressures. Check for leaks regularly.</w:t>
      </w:r>
    </w:p>
    <w:p w14:paraId="3DCBB3FC" w14:textId="77777777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store cylinders in an area where in an area where any leaking gas could accumulate.</w:t>
      </w:r>
    </w:p>
    <w:p w14:paraId="4AC4A762" w14:textId="77777777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75563676" w14:textId="77777777" w:rsidR="00F35511" w:rsidRPr="002D1240" w:rsidRDefault="00F35511" w:rsidP="00F35511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valve does not operate by hand, return the cylinder to the supplier (attach a “faulty” tag). </w:t>
      </w:r>
    </w:p>
    <w:p w14:paraId="0774413C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11F751B9" w14:textId="77777777" w:rsidR="00F35511" w:rsidRPr="002D1240" w:rsidRDefault="00F35511" w:rsidP="00F35511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N.B. Only regulators, manifolds and ancillary equipment, rated for the appropriate pressure and compatible with the relevant gas, shall be connected to or downstream of these cylinders.</w:t>
      </w:r>
    </w:p>
    <w:p w14:paraId="5806DF27" w14:textId="77777777" w:rsidR="00F35511" w:rsidRPr="002D1240" w:rsidRDefault="00F35511" w:rsidP="00F35511">
      <w:pPr>
        <w:pStyle w:val="TableStyle2"/>
        <w:rPr>
          <w:rFonts w:ascii="Calibri" w:hAnsi="Calibri"/>
        </w:rPr>
      </w:pPr>
    </w:p>
    <w:p w14:paraId="1AABB6CF" w14:textId="77777777" w:rsidR="00F35511" w:rsidRPr="002D1240" w:rsidRDefault="00F35511" w:rsidP="00F35511">
      <w:pPr>
        <w:pStyle w:val="Heading3"/>
      </w:pPr>
      <w:bookmarkStart w:id="7" w:name="_Toc40259703"/>
      <w:r w:rsidRPr="002D1240">
        <w:t>In case of leaks</w:t>
      </w:r>
      <w:bookmarkEnd w:id="7"/>
    </w:p>
    <w:p w14:paraId="786012D1" w14:textId="77777777" w:rsidR="00F35511" w:rsidRPr="002D1240" w:rsidRDefault="00F35511" w:rsidP="00F35511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cylinder or pack is suspected of leaking, evacuate personnel from the direction in which the gas is likely to flow. Stop leak if possible.</w:t>
      </w:r>
    </w:p>
    <w:p w14:paraId="18BED982" w14:textId="77777777" w:rsidR="00F35511" w:rsidRPr="002D1240" w:rsidRDefault="00F35511" w:rsidP="00F35511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Major leaks should only be approached with breathing apparatus.</w:t>
      </w:r>
    </w:p>
    <w:p w14:paraId="6CAB142F" w14:textId="77777777" w:rsidR="00F35511" w:rsidRPr="002D1240" w:rsidRDefault="00F35511" w:rsidP="00F35511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possible and if safe to do so, remove leaking cylinder or pack to a safe area outdoors and allow contents to empty into atmosphere. </w:t>
      </w:r>
    </w:p>
    <w:p w14:paraId="023B5066" w14:textId="77777777" w:rsidR="00124C26" w:rsidRPr="004A4505" w:rsidRDefault="00124C26" w:rsidP="00124C26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388807A9" w14:textId="77777777" w:rsidR="00124C26" w:rsidRPr="002D1240" w:rsidRDefault="00124C26" w:rsidP="00124C26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7DF83" w14:textId="77777777" w:rsidR="002B460B" w:rsidRDefault="002B460B" w:rsidP="00C25877">
      <w:r>
        <w:separator/>
      </w:r>
    </w:p>
  </w:endnote>
  <w:endnote w:type="continuationSeparator" w:id="0">
    <w:p w14:paraId="6D3D6480" w14:textId="77777777" w:rsidR="002B460B" w:rsidRDefault="002B460B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124C26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124C26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B5BD1" w14:textId="77777777" w:rsidR="002B460B" w:rsidRDefault="002B460B" w:rsidP="00C25877">
      <w:r>
        <w:separator/>
      </w:r>
    </w:p>
  </w:footnote>
  <w:footnote w:type="continuationSeparator" w:id="0">
    <w:p w14:paraId="6C8AAFBB" w14:textId="77777777" w:rsidR="002B460B" w:rsidRDefault="002B460B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124C26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27E0622F" w:rsidR="00286642" w:rsidRPr="00286642" w:rsidRDefault="00F35511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Argon 10/18/23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</w:t>
                </w:r>
                <w:r w:rsidR="00994A0D">
                  <w:t>95</w:t>
                </w:r>
                <w:r w:rsidR="00286642" w:rsidRPr="00286642">
                  <w:t>6</w:t>
                </w:r>
                <w:r w:rsidR="00286642">
                  <w:t xml:space="preserve">    </w:t>
                </w:r>
                <w:r w:rsidR="00286642" w:rsidRPr="00286642">
                  <w:t>Hazard No. 2</w:t>
                </w:r>
                <w:r w:rsidR="00994A0D">
                  <w:t>TE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124C26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31AAAFCC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044E278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9EAE6D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28C5B96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734AB26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852697E8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21843834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89CFB52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1AC6322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52AB1"/>
    <w:rsid w:val="00062FAC"/>
    <w:rsid w:val="00073CFF"/>
    <w:rsid w:val="00085AB1"/>
    <w:rsid w:val="000F4D19"/>
    <w:rsid w:val="00124C26"/>
    <w:rsid w:val="001A5A92"/>
    <w:rsid w:val="002768AC"/>
    <w:rsid w:val="00286642"/>
    <w:rsid w:val="002B460B"/>
    <w:rsid w:val="00317A40"/>
    <w:rsid w:val="0032105E"/>
    <w:rsid w:val="00336D30"/>
    <w:rsid w:val="00372A11"/>
    <w:rsid w:val="003944B1"/>
    <w:rsid w:val="003A1F81"/>
    <w:rsid w:val="003B2FF6"/>
    <w:rsid w:val="004850E0"/>
    <w:rsid w:val="0049041A"/>
    <w:rsid w:val="004B1803"/>
    <w:rsid w:val="004D75C3"/>
    <w:rsid w:val="004F2C97"/>
    <w:rsid w:val="00566A56"/>
    <w:rsid w:val="005B62A3"/>
    <w:rsid w:val="005D0AF1"/>
    <w:rsid w:val="00640803"/>
    <w:rsid w:val="006854B5"/>
    <w:rsid w:val="0069122C"/>
    <w:rsid w:val="00692CB7"/>
    <w:rsid w:val="006E34D8"/>
    <w:rsid w:val="006F76F6"/>
    <w:rsid w:val="007132D7"/>
    <w:rsid w:val="00716922"/>
    <w:rsid w:val="00755510"/>
    <w:rsid w:val="00760176"/>
    <w:rsid w:val="007826F9"/>
    <w:rsid w:val="007D5EAE"/>
    <w:rsid w:val="007E234E"/>
    <w:rsid w:val="007F690B"/>
    <w:rsid w:val="007F7526"/>
    <w:rsid w:val="009342AE"/>
    <w:rsid w:val="00965842"/>
    <w:rsid w:val="00994A0D"/>
    <w:rsid w:val="00995F58"/>
    <w:rsid w:val="009D0541"/>
    <w:rsid w:val="009D054A"/>
    <w:rsid w:val="009D0A7F"/>
    <w:rsid w:val="009E3D5B"/>
    <w:rsid w:val="00A043D7"/>
    <w:rsid w:val="00A260D1"/>
    <w:rsid w:val="00AD0CF5"/>
    <w:rsid w:val="00B27F4C"/>
    <w:rsid w:val="00B501E0"/>
    <w:rsid w:val="00B87C48"/>
    <w:rsid w:val="00B94902"/>
    <w:rsid w:val="00BF5292"/>
    <w:rsid w:val="00C25877"/>
    <w:rsid w:val="00CC2D8E"/>
    <w:rsid w:val="00CC315E"/>
    <w:rsid w:val="00D105A4"/>
    <w:rsid w:val="00D47BF0"/>
    <w:rsid w:val="00D73FF1"/>
    <w:rsid w:val="00DB14BE"/>
    <w:rsid w:val="00DD0F59"/>
    <w:rsid w:val="00EA5661"/>
    <w:rsid w:val="00F35511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F35511"/>
    <w:pPr>
      <w:numPr>
        <w:numId w:val="5"/>
      </w:numPr>
    </w:pPr>
  </w:style>
  <w:style w:type="paragraph" w:customStyle="1" w:styleId="TableStyle2">
    <w:name w:val="Table Style 2"/>
    <w:rsid w:val="00F355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12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21</cp:revision>
  <cp:lastPrinted>2020-05-08T01:29:00Z</cp:lastPrinted>
  <dcterms:created xsi:type="dcterms:W3CDTF">2020-05-17T04:58:00Z</dcterms:created>
  <dcterms:modified xsi:type="dcterms:W3CDTF">2020-05-24T03:41:00Z</dcterms:modified>
</cp:coreProperties>
</file>