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BCB6A" w14:textId="77777777" w:rsidR="00312CBC" w:rsidRDefault="003B2FF6" w:rsidP="002768AC">
      <w:pPr>
        <w:pStyle w:val="ListBullet"/>
        <w:numPr>
          <w:ilvl w:val="0"/>
          <w:numId w:val="0"/>
        </w:numPr>
      </w:pPr>
      <w:r w:rsidRPr="002768AC">
        <w:rPr>
          <w:rStyle w:val="Heading4Char"/>
        </w:rPr>
        <w:t>INFORMATION SHEET</w:t>
      </w:r>
    </w:p>
    <w:p w14:paraId="21209E24" w14:textId="36BA542B" w:rsidR="003B2FF6" w:rsidRPr="002768AC" w:rsidRDefault="003B2FF6" w:rsidP="002768AC">
      <w:pPr>
        <w:pStyle w:val="ListBullet"/>
        <w:numPr>
          <w:ilvl w:val="0"/>
          <w:numId w:val="0"/>
        </w:numPr>
        <w:rPr>
          <w:sz w:val="26"/>
          <w:szCs w:val="26"/>
        </w:rPr>
      </w:pPr>
      <w:r w:rsidRPr="002768AC">
        <w:rPr>
          <w:sz w:val="26"/>
          <w:szCs w:val="26"/>
        </w:rPr>
        <w:t>UN No. 10</w:t>
      </w:r>
      <w:r w:rsidR="00EF037D">
        <w:rPr>
          <w:sz w:val="26"/>
          <w:szCs w:val="26"/>
        </w:rPr>
        <w:t>4</w:t>
      </w:r>
      <w:r w:rsidRPr="002768AC">
        <w:rPr>
          <w:sz w:val="26"/>
          <w:szCs w:val="26"/>
        </w:rPr>
        <w:t>6</w:t>
      </w:r>
    </w:p>
    <w:p w14:paraId="7B5F94A8" w14:textId="227C8E50" w:rsidR="003B2FF6" w:rsidRPr="002768AC" w:rsidRDefault="003B2FF6" w:rsidP="002768AC">
      <w:pPr>
        <w:pStyle w:val="ListBullet"/>
        <w:numPr>
          <w:ilvl w:val="0"/>
          <w:numId w:val="0"/>
        </w:numPr>
        <w:rPr>
          <w:sz w:val="26"/>
          <w:szCs w:val="26"/>
        </w:rPr>
      </w:pPr>
      <w:r w:rsidRPr="002768AC">
        <w:rPr>
          <w:sz w:val="26"/>
          <w:szCs w:val="26"/>
        </w:rPr>
        <w:t>Hazard No. 2(T)</w:t>
      </w:r>
    </w:p>
    <w:p w14:paraId="1DE6F010" w14:textId="77777777" w:rsidR="003B2FF6" w:rsidRDefault="003B2FF6" w:rsidP="002768AC">
      <w:pPr>
        <w:pStyle w:val="ListBullet"/>
        <w:numPr>
          <w:ilvl w:val="0"/>
          <w:numId w:val="0"/>
        </w:numPr>
      </w:pPr>
    </w:p>
    <w:p w14:paraId="3F945A5F" w14:textId="11760E5B" w:rsidR="003B2FF6" w:rsidRPr="002768AC" w:rsidRDefault="00F61345" w:rsidP="002768AC">
      <w:pPr>
        <w:pStyle w:val="Heading1"/>
      </w:pPr>
      <w:r>
        <w:rPr>
          <w:noProof/>
        </w:rPr>
        <w:pict w14:anchorId="504E2B73">
          <v:shapetype id="_x0000_t202" coordsize="21600,21600" o:spt="202" path="m,l,21600r21600,l21600,xe">
            <v:stroke joinstyle="miter"/>
            <v:path gradientshapeok="t" o:connecttype="rect"/>
          </v:shapetype>
          <v:shape id="Text Box 7" o:spid="_x0000_s1027" type="#_x0000_t202" style="position:absolute;margin-left:289.3pt;margin-top:15.15pt;width:144.65pt;height:154.6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" fillcolor="window" strokeweight=".5pt">
            <v:textbox style="mso-next-textbox:#Text Box 7">
              <w:txbxContent>
                <w:p w14:paraId="48A901C5" w14:textId="77777777" w:rsidR="00B87C48" w:rsidRDefault="00F61345" w:rsidP="00B87C48">
                  <w:pPr>
                    <w:jc w:val="center"/>
                  </w:pPr>
                  <w:r>
                    <w:rPr>
                      <w:noProof/>
                    </w:rPr>
                    <w:pict w14:anchorId="1B641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i1026" type="#_x0000_t75" alt="A close up of a device&#10;&#10;Description automatically generated" style="width:103.95pt;height:145.95pt;visibility:visible">
                        <v:imagedata r:id="rId7" o:title="A close up of a device&#10;&#10;Description automatically generated"/>
                      </v:shape>
                    </w:pict>
                  </w:r>
                </w:p>
              </w:txbxContent>
            </v:textbox>
          </v:shape>
        </w:pict>
      </w:r>
      <w:r w:rsidR="00D47100">
        <w:rPr>
          <w:noProof/>
        </w:rPr>
        <w:t>Helium</w:t>
      </w:r>
    </w:p>
    <w:p w14:paraId="124A090D" w14:textId="77777777" w:rsidR="00B87C48" w:rsidRDefault="00B87C48" w:rsidP="002768AC">
      <w:pPr>
        <w:pStyle w:val="ListBullet"/>
        <w:numPr>
          <w:ilvl w:val="0"/>
          <w:numId w:val="0"/>
        </w:numPr>
      </w:pPr>
    </w:p>
    <w:p w14:paraId="3D49E847" w14:textId="77777777" w:rsidR="00B87C48" w:rsidRDefault="00B87C48" w:rsidP="002768AC">
      <w:pPr>
        <w:pStyle w:val="ListBullet"/>
        <w:numPr>
          <w:ilvl w:val="0"/>
          <w:numId w:val="0"/>
        </w:numPr>
      </w:pPr>
    </w:p>
    <w:p w14:paraId="5760BA3E" w14:textId="77777777" w:rsidR="002768AC" w:rsidRDefault="002768AC" w:rsidP="002768AC">
      <w:pPr>
        <w:pStyle w:val="ListBullet"/>
        <w:numPr>
          <w:ilvl w:val="0"/>
          <w:numId w:val="0"/>
        </w:numPr>
      </w:pPr>
    </w:p>
    <w:p w14:paraId="34D5BD2F" w14:textId="77777777" w:rsidR="002768AC" w:rsidRDefault="002768AC" w:rsidP="002768AC">
      <w:pPr>
        <w:pStyle w:val="ListBullet"/>
        <w:numPr>
          <w:ilvl w:val="0"/>
          <w:numId w:val="0"/>
        </w:numPr>
      </w:pPr>
    </w:p>
    <w:p w14:paraId="06C773B1" w14:textId="77777777" w:rsidR="002768AC" w:rsidRDefault="002768AC" w:rsidP="002768AC">
      <w:pPr>
        <w:pStyle w:val="ListBullet"/>
        <w:numPr>
          <w:ilvl w:val="0"/>
          <w:numId w:val="0"/>
        </w:numPr>
      </w:pPr>
    </w:p>
    <w:p w14:paraId="2CAE08F2" w14:textId="77777777" w:rsidR="00B87C48" w:rsidRDefault="00B87C48" w:rsidP="002768AC">
      <w:pPr>
        <w:pStyle w:val="ListBullet"/>
        <w:numPr>
          <w:ilvl w:val="0"/>
          <w:numId w:val="0"/>
        </w:numPr>
      </w:pPr>
    </w:p>
    <w:p w14:paraId="2B99F5DF" w14:textId="77777777" w:rsidR="00B87C48" w:rsidRDefault="00B87C48" w:rsidP="002768AC">
      <w:pPr>
        <w:pStyle w:val="ListBullet"/>
        <w:numPr>
          <w:ilvl w:val="0"/>
          <w:numId w:val="0"/>
        </w:numPr>
      </w:pPr>
    </w:p>
    <w:p w14:paraId="05B1DD98" w14:textId="40B3762F" w:rsidR="002768AC" w:rsidRDefault="002768AC" w:rsidP="002768AC">
      <w:pPr>
        <w:pStyle w:val="ListBullet"/>
        <w:numPr>
          <w:ilvl w:val="0"/>
          <w:numId w:val="0"/>
        </w:numPr>
      </w:pPr>
    </w:p>
    <w:p w14:paraId="3FC9B0C8" w14:textId="5CDE1955" w:rsidR="001F5EF4" w:rsidRDefault="001F5EF4" w:rsidP="002768AC">
      <w:pPr>
        <w:pStyle w:val="ListBullet"/>
        <w:numPr>
          <w:ilvl w:val="0"/>
          <w:numId w:val="0"/>
        </w:numPr>
      </w:pPr>
    </w:p>
    <w:p w14:paraId="4F7EA739" w14:textId="2A30655D" w:rsidR="001D36FF" w:rsidRDefault="001D36FF" w:rsidP="001D36FF">
      <w:pPr>
        <w:pStyle w:val="ListBullet"/>
        <w:numPr>
          <w:ilvl w:val="0"/>
          <w:numId w:val="0"/>
        </w:numPr>
        <w:jc w:val="right"/>
      </w:pPr>
      <w:r>
        <w:t>Container sizes may vary from state to 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46"/>
        <w:gridCol w:w="1417"/>
        <w:gridCol w:w="1418"/>
        <w:gridCol w:w="1413"/>
        <w:gridCol w:w="1393"/>
      </w:tblGrid>
      <w:tr w:rsidR="00BF5292" w14:paraId="00EDEDAB" w14:textId="77777777" w:rsidTr="001D36FF">
        <w:trPr>
          <w:cantSplit/>
          <w:trHeight w:hRule="exact" w:val="624"/>
        </w:trPr>
        <w:tc>
          <w:tcPr>
            <w:tcW w:w="3114" w:type="dxa"/>
            <w:gridSpan w:val="2"/>
            <w:shd w:val="pct10" w:color="auto" w:fill="auto"/>
            <w:vAlign w:val="center"/>
          </w:tcPr>
          <w:p w14:paraId="138EB563" w14:textId="77777777" w:rsidR="00317A40" w:rsidRPr="009D054A" w:rsidRDefault="00317A40" w:rsidP="004B1803">
            <w:pPr>
              <w:pStyle w:val="ListBullet"/>
              <w:numPr>
                <w:ilvl w:val="0"/>
                <w:numId w:val="0"/>
              </w:numPr>
            </w:pPr>
            <w:r w:rsidRPr="009D054A">
              <w:t>SPECIFICATION</w:t>
            </w:r>
          </w:p>
        </w:tc>
        <w:tc>
          <w:tcPr>
            <w:tcW w:w="1417" w:type="dxa"/>
            <w:shd w:val="pct10" w:color="auto" w:fill="auto"/>
            <w:vAlign w:val="center"/>
          </w:tcPr>
          <w:p w14:paraId="64D14E09" w14:textId="0CB5510C" w:rsidR="00317A40" w:rsidRPr="009D054A" w:rsidRDefault="008913E3" w:rsidP="004B1803">
            <w:pPr>
              <w:pStyle w:val="ListBullet"/>
              <w:numPr>
                <w:ilvl w:val="0"/>
                <w:numId w:val="0"/>
              </w:numPr>
              <w:jc w:val="center"/>
            </w:pPr>
            <w:proofErr w:type="gramStart"/>
            <w:r>
              <w:t>CL</w:t>
            </w:r>
            <w:r w:rsidR="00317A40" w:rsidRPr="009D054A">
              <w:t xml:space="preserve">  </w:t>
            </w:r>
            <w:proofErr w:type="spellStart"/>
            <w:r w:rsidR="00317A40" w:rsidRPr="009D054A">
              <w:t>Cyl</w:t>
            </w:r>
            <w:proofErr w:type="spellEnd"/>
            <w:proofErr w:type="gramEnd"/>
            <w:r w:rsidR="00317A40" w:rsidRPr="009D054A">
              <w:t>.</w:t>
            </w:r>
          </w:p>
        </w:tc>
        <w:tc>
          <w:tcPr>
            <w:tcW w:w="1418" w:type="dxa"/>
            <w:shd w:val="pct10" w:color="auto" w:fill="auto"/>
            <w:vAlign w:val="center"/>
          </w:tcPr>
          <w:p w14:paraId="4CAB9C84" w14:textId="5B804A68" w:rsidR="00317A40" w:rsidRPr="009D054A" w:rsidRDefault="008913E3" w:rsidP="004B1803">
            <w:pPr>
              <w:pStyle w:val="ListBullet"/>
              <w:numPr>
                <w:ilvl w:val="0"/>
                <w:numId w:val="0"/>
              </w:numPr>
              <w:jc w:val="center"/>
            </w:pPr>
            <w:proofErr w:type="gramStart"/>
            <w:r>
              <w:t>D</w:t>
            </w:r>
            <w:r w:rsidR="00317A40" w:rsidRPr="009D054A">
              <w:t xml:space="preserve">  </w:t>
            </w:r>
            <w:proofErr w:type="spellStart"/>
            <w:r w:rsidR="00317A40" w:rsidRPr="009D054A">
              <w:t>Cyl</w:t>
            </w:r>
            <w:proofErr w:type="spellEnd"/>
            <w:proofErr w:type="gramEnd"/>
            <w:r w:rsidR="00317A40" w:rsidRPr="009D054A">
              <w:t>.</w:t>
            </w:r>
          </w:p>
        </w:tc>
        <w:tc>
          <w:tcPr>
            <w:tcW w:w="1413" w:type="dxa"/>
            <w:shd w:val="pct10" w:color="auto" w:fill="auto"/>
            <w:vAlign w:val="center"/>
          </w:tcPr>
          <w:p w14:paraId="6EA04759" w14:textId="71FE6A8B" w:rsidR="00317A40" w:rsidRPr="009D054A" w:rsidRDefault="008913E3" w:rsidP="004B1803">
            <w:pPr>
              <w:pStyle w:val="ListBullet"/>
              <w:numPr>
                <w:ilvl w:val="0"/>
                <w:numId w:val="0"/>
              </w:numPr>
              <w:jc w:val="center"/>
            </w:pPr>
            <w:proofErr w:type="gramStart"/>
            <w:r>
              <w:t>E</w:t>
            </w:r>
            <w:r w:rsidR="00317A40" w:rsidRPr="009D054A">
              <w:t xml:space="preserve">  </w:t>
            </w:r>
            <w:proofErr w:type="spellStart"/>
            <w:r w:rsidR="00317A40" w:rsidRPr="009D054A">
              <w:t>Cyl</w:t>
            </w:r>
            <w:proofErr w:type="spellEnd"/>
            <w:proofErr w:type="gramEnd"/>
            <w:r w:rsidR="00317A40" w:rsidRPr="009D054A">
              <w:t>.</w:t>
            </w:r>
          </w:p>
        </w:tc>
        <w:tc>
          <w:tcPr>
            <w:tcW w:w="1393" w:type="dxa"/>
            <w:shd w:val="pct10" w:color="auto" w:fill="auto"/>
            <w:vAlign w:val="center"/>
          </w:tcPr>
          <w:p w14:paraId="15DE018B" w14:textId="484A410B" w:rsidR="00317A40" w:rsidRPr="009D054A" w:rsidRDefault="00317A40" w:rsidP="004B1803">
            <w:pPr>
              <w:pStyle w:val="ListBullet"/>
              <w:numPr>
                <w:ilvl w:val="0"/>
                <w:numId w:val="0"/>
              </w:numPr>
              <w:jc w:val="center"/>
            </w:pPr>
            <w:proofErr w:type="gramStart"/>
            <w:r w:rsidRPr="004B1803">
              <w:rPr>
                <w:b/>
                <w:bCs/>
              </w:rPr>
              <w:t>G</w:t>
            </w:r>
            <w:r w:rsidRPr="009D054A">
              <w:t xml:space="preserve">  </w:t>
            </w:r>
            <w:proofErr w:type="spellStart"/>
            <w:r w:rsidRPr="009D054A">
              <w:t>Cyl</w:t>
            </w:r>
            <w:proofErr w:type="spellEnd"/>
            <w:proofErr w:type="gramEnd"/>
            <w:r w:rsidRPr="009D054A">
              <w:t>.</w:t>
            </w:r>
          </w:p>
        </w:tc>
      </w:tr>
      <w:tr w:rsidR="009D5024" w14:paraId="2C78B581" w14:textId="77777777" w:rsidTr="001D36FF">
        <w:trPr>
          <w:cantSplit/>
          <w:trHeight w:hRule="exact" w:val="624"/>
        </w:trPr>
        <w:tc>
          <w:tcPr>
            <w:tcW w:w="3114" w:type="dxa"/>
            <w:gridSpan w:val="2"/>
            <w:shd w:val="clear" w:color="auto" w:fill="auto"/>
            <w:vAlign w:val="center"/>
          </w:tcPr>
          <w:p w14:paraId="42C36721" w14:textId="5645F03B" w:rsidR="009D5024" w:rsidRPr="003B2FF6" w:rsidRDefault="009D5024" w:rsidP="009D5024">
            <w:pPr>
              <w:pStyle w:val="ListBullet"/>
              <w:numPr>
                <w:ilvl w:val="0"/>
                <w:numId w:val="0"/>
              </w:numPr>
            </w:pPr>
            <w:r w:rsidRPr="003B2FF6">
              <w:t>Cylinder contents</w:t>
            </w:r>
            <w:r>
              <w:t xml:space="preserve"> (m</w:t>
            </w:r>
            <w:r w:rsidRPr="00052AB1">
              <w:rPr>
                <w:vertAlign w:val="superscript"/>
              </w:rPr>
              <w:t>3</w:t>
            </w:r>
            <w:r>
              <w:t>)</w:t>
            </w:r>
            <w:r>
              <w:br/>
              <w:t>(101.325 kPa at 15</w:t>
            </w:r>
            <w:r>
              <w:rPr>
                <w:vertAlign w:val="superscript"/>
              </w:rPr>
              <w:t>0</w:t>
            </w:r>
            <w:r>
              <w:t>C)</w:t>
            </w:r>
          </w:p>
        </w:tc>
        <w:tc>
          <w:tcPr>
            <w:tcW w:w="1417" w:type="dxa"/>
            <w:shd w:val="clear" w:color="auto" w:fill="auto"/>
            <w:vAlign w:val="center"/>
          </w:tcPr>
          <w:p w14:paraId="5D5824B2" w14:textId="2A4CDEE2" w:rsidR="009D5024" w:rsidRPr="00317A40" w:rsidRDefault="009D5024" w:rsidP="009D5024">
            <w:pPr>
              <w:pStyle w:val="ListBullet"/>
              <w:numPr>
                <w:ilvl w:val="0"/>
                <w:numId w:val="0"/>
              </w:numPr>
              <w:jc w:val="center"/>
            </w:pPr>
            <w:r>
              <w:t>0.6</w:t>
            </w:r>
          </w:p>
        </w:tc>
        <w:tc>
          <w:tcPr>
            <w:tcW w:w="1418" w:type="dxa"/>
            <w:shd w:val="clear" w:color="auto" w:fill="auto"/>
            <w:vAlign w:val="center"/>
          </w:tcPr>
          <w:p w14:paraId="19849F73" w14:textId="504C0E47" w:rsidR="009D5024" w:rsidRPr="00317A40" w:rsidRDefault="009D5024" w:rsidP="009D5024">
            <w:pPr>
              <w:pStyle w:val="ListBullet"/>
              <w:numPr>
                <w:ilvl w:val="0"/>
                <w:numId w:val="0"/>
              </w:numPr>
              <w:jc w:val="center"/>
            </w:pPr>
            <w:r>
              <w:t>1.2</w:t>
            </w:r>
          </w:p>
        </w:tc>
        <w:tc>
          <w:tcPr>
            <w:tcW w:w="1413" w:type="dxa"/>
            <w:shd w:val="clear" w:color="auto" w:fill="auto"/>
            <w:vAlign w:val="center"/>
          </w:tcPr>
          <w:p w14:paraId="0FE5D001" w14:textId="0BA0E336" w:rsidR="009D5024" w:rsidRPr="00317A40" w:rsidRDefault="009D5024" w:rsidP="009D5024">
            <w:pPr>
              <w:pStyle w:val="ListBullet"/>
              <w:numPr>
                <w:ilvl w:val="0"/>
                <w:numId w:val="0"/>
              </w:numPr>
              <w:jc w:val="center"/>
            </w:pPr>
            <w:r>
              <w:t>3.5</w:t>
            </w:r>
          </w:p>
        </w:tc>
        <w:tc>
          <w:tcPr>
            <w:tcW w:w="1393" w:type="dxa"/>
            <w:shd w:val="clear" w:color="auto" w:fill="auto"/>
            <w:vAlign w:val="center"/>
          </w:tcPr>
          <w:p w14:paraId="7E6965F0" w14:textId="15A61962" w:rsidR="009D5024" w:rsidRPr="00317A40" w:rsidRDefault="009D5024" w:rsidP="009D5024">
            <w:pPr>
              <w:pStyle w:val="ListBullet"/>
              <w:numPr>
                <w:ilvl w:val="0"/>
                <w:numId w:val="0"/>
              </w:numPr>
              <w:jc w:val="center"/>
            </w:pPr>
            <w:r>
              <w:t>9.1</w:t>
            </w:r>
          </w:p>
        </w:tc>
      </w:tr>
      <w:tr w:rsidR="009D5024" w14:paraId="6C5C9ADA" w14:textId="77777777" w:rsidTr="001D36FF">
        <w:trPr>
          <w:cantSplit/>
          <w:trHeight w:hRule="exact" w:val="397"/>
        </w:trPr>
        <w:tc>
          <w:tcPr>
            <w:tcW w:w="3114" w:type="dxa"/>
            <w:gridSpan w:val="2"/>
            <w:shd w:val="clear" w:color="auto" w:fill="auto"/>
            <w:vAlign w:val="center"/>
          </w:tcPr>
          <w:p w14:paraId="2DD7DF85" w14:textId="1BC4F02B" w:rsidR="009D5024" w:rsidRPr="00317A40" w:rsidRDefault="009D5024" w:rsidP="009D5024">
            <w:pPr>
              <w:pStyle w:val="ListBullet"/>
              <w:numPr>
                <w:ilvl w:val="0"/>
                <w:numId w:val="0"/>
              </w:numPr>
            </w:pPr>
            <w:r w:rsidRPr="00317A40">
              <w:t>Water Capacity per cylinder (L)</w:t>
            </w:r>
          </w:p>
        </w:tc>
        <w:tc>
          <w:tcPr>
            <w:tcW w:w="1417" w:type="dxa"/>
            <w:shd w:val="clear" w:color="auto" w:fill="auto"/>
            <w:vAlign w:val="center"/>
          </w:tcPr>
          <w:p w14:paraId="4DA6B9FF" w14:textId="3B8461D2" w:rsidR="009D5024" w:rsidRPr="00317A40" w:rsidRDefault="009D5024" w:rsidP="009D5024">
            <w:pPr>
              <w:pStyle w:val="ListBullet"/>
              <w:numPr>
                <w:ilvl w:val="0"/>
                <w:numId w:val="0"/>
              </w:numPr>
              <w:jc w:val="center"/>
            </w:pPr>
            <w:r>
              <w:t>4.6</w:t>
            </w:r>
          </w:p>
        </w:tc>
        <w:tc>
          <w:tcPr>
            <w:tcW w:w="1418" w:type="dxa"/>
            <w:shd w:val="clear" w:color="auto" w:fill="auto"/>
            <w:vAlign w:val="center"/>
          </w:tcPr>
          <w:p w14:paraId="103A4CD2" w14:textId="656BA512" w:rsidR="009D5024" w:rsidRPr="00317A40" w:rsidRDefault="009D5024" w:rsidP="009D5024">
            <w:pPr>
              <w:pStyle w:val="ListBullet"/>
              <w:numPr>
                <w:ilvl w:val="0"/>
                <w:numId w:val="0"/>
              </w:numPr>
              <w:jc w:val="center"/>
            </w:pPr>
            <w:r>
              <w:t>10</w:t>
            </w:r>
          </w:p>
        </w:tc>
        <w:tc>
          <w:tcPr>
            <w:tcW w:w="1413" w:type="dxa"/>
            <w:shd w:val="clear" w:color="auto" w:fill="auto"/>
            <w:vAlign w:val="center"/>
          </w:tcPr>
          <w:p w14:paraId="27A1DE52" w14:textId="760C6AD1" w:rsidR="009D5024" w:rsidRPr="00317A40" w:rsidRDefault="009D5024" w:rsidP="009D5024">
            <w:pPr>
              <w:pStyle w:val="ListBullet"/>
              <w:numPr>
                <w:ilvl w:val="0"/>
                <w:numId w:val="0"/>
              </w:numPr>
              <w:jc w:val="center"/>
            </w:pPr>
            <w:r>
              <w:t>23</w:t>
            </w:r>
          </w:p>
        </w:tc>
        <w:tc>
          <w:tcPr>
            <w:tcW w:w="1393" w:type="dxa"/>
            <w:shd w:val="clear" w:color="auto" w:fill="auto"/>
            <w:vAlign w:val="center"/>
          </w:tcPr>
          <w:p w14:paraId="07DAB4F4" w14:textId="7F333DE7" w:rsidR="009D5024" w:rsidRPr="00317A40" w:rsidRDefault="009D5024" w:rsidP="009D5024">
            <w:pPr>
              <w:pStyle w:val="ListBullet"/>
              <w:numPr>
                <w:ilvl w:val="0"/>
                <w:numId w:val="0"/>
              </w:numPr>
              <w:jc w:val="center"/>
            </w:pPr>
            <w:r>
              <w:t>50</w:t>
            </w:r>
          </w:p>
        </w:tc>
      </w:tr>
      <w:tr w:rsidR="009D5024" w14:paraId="3655CF35" w14:textId="77777777" w:rsidTr="001D36FF">
        <w:trPr>
          <w:cantSplit/>
          <w:trHeight w:hRule="exact" w:val="624"/>
        </w:trPr>
        <w:tc>
          <w:tcPr>
            <w:tcW w:w="3114" w:type="dxa"/>
            <w:gridSpan w:val="2"/>
            <w:shd w:val="clear" w:color="auto" w:fill="auto"/>
            <w:vAlign w:val="center"/>
          </w:tcPr>
          <w:p w14:paraId="37AD8F76" w14:textId="0FD6FDC5" w:rsidR="009D5024" w:rsidRPr="003B2FF6" w:rsidRDefault="009D5024" w:rsidP="009D5024">
            <w:pPr>
              <w:pStyle w:val="ListBullet"/>
              <w:numPr>
                <w:ilvl w:val="0"/>
                <w:numId w:val="0"/>
              </w:numPr>
            </w:pPr>
            <w:r w:rsidRPr="003B2FF6">
              <w:t xml:space="preserve">Cylinder </w:t>
            </w:r>
            <w:r>
              <w:t>Pressure (kPa)</w:t>
            </w:r>
          </w:p>
        </w:tc>
        <w:tc>
          <w:tcPr>
            <w:tcW w:w="1417" w:type="dxa"/>
            <w:shd w:val="clear" w:color="auto" w:fill="auto"/>
            <w:vAlign w:val="center"/>
          </w:tcPr>
          <w:p w14:paraId="18657BDC" w14:textId="6273B6C5" w:rsidR="009D5024" w:rsidRPr="00317A40" w:rsidRDefault="009D5024" w:rsidP="009D5024">
            <w:pPr>
              <w:pStyle w:val="ListBullet"/>
              <w:numPr>
                <w:ilvl w:val="0"/>
                <w:numId w:val="0"/>
              </w:numPr>
              <w:jc w:val="center"/>
            </w:pPr>
            <w:r>
              <w:t>16,500</w:t>
            </w:r>
          </w:p>
        </w:tc>
        <w:tc>
          <w:tcPr>
            <w:tcW w:w="1418" w:type="dxa"/>
            <w:shd w:val="clear" w:color="auto" w:fill="auto"/>
            <w:vAlign w:val="center"/>
          </w:tcPr>
          <w:p w14:paraId="084D602C" w14:textId="71A9EA27" w:rsidR="009D5024" w:rsidRPr="00317A40" w:rsidRDefault="009D5024" w:rsidP="009D5024">
            <w:pPr>
              <w:pStyle w:val="ListBullet"/>
              <w:numPr>
                <w:ilvl w:val="0"/>
                <w:numId w:val="0"/>
              </w:numPr>
              <w:jc w:val="center"/>
            </w:pPr>
            <w:r>
              <w:t>14,000</w:t>
            </w:r>
          </w:p>
        </w:tc>
        <w:tc>
          <w:tcPr>
            <w:tcW w:w="1413" w:type="dxa"/>
            <w:shd w:val="clear" w:color="auto" w:fill="auto"/>
            <w:vAlign w:val="center"/>
          </w:tcPr>
          <w:p w14:paraId="1B6F22C5" w14:textId="7664343C" w:rsidR="009D5024" w:rsidRPr="00317A40" w:rsidRDefault="009D5024" w:rsidP="009D5024">
            <w:pPr>
              <w:pStyle w:val="ListBullet"/>
              <w:numPr>
                <w:ilvl w:val="0"/>
                <w:numId w:val="0"/>
              </w:numPr>
              <w:jc w:val="center"/>
            </w:pPr>
            <w:r>
              <w:t>16,500</w:t>
            </w:r>
          </w:p>
        </w:tc>
        <w:tc>
          <w:tcPr>
            <w:tcW w:w="1393" w:type="dxa"/>
            <w:shd w:val="clear" w:color="auto" w:fill="auto"/>
            <w:vAlign w:val="center"/>
          </w:tcPr>
          <w:p w14:paraId="1195AE8B" w14:textId="6E771E28" w:rsidR="009D5024" w:rsidRPr="00317A40" w:rsidRDefault="009D5024" w:rsidP="009D5024">
            <w:pPr>
              <w:pStyle w:val="ListBullet"/>
              <w:numPr>
                <w:ilvl w:val="0"/>
                <w:numId w:val="0"/>
              </w:numPr>
              <w:jc w:val="center"/>
            </w:pPr>
            <w:r>
              <w:t>20,000</w:t>
            </w:r>
          </w:p>
        </w:tc>
      </w:tr>
      <w:tr w:rsidR="009D5024" w14:paraId="190F881A" w14:textId="77777777" w:rsidTr="001D36FF">
        <w:trPr>
          <w:cantSplit/>
          <w:trHeight w:hRule="exact" w:val="397"/>
        </w:trPr>
        <w:tc>
          <w:tcPr>
            <w:tcW w:w="3114" w:type="dxa"/>
            <w:gridSpan w:val="2"/>
            <w:shd w:val="clear" w:color="auto" w:fill="auto"/>
            <w:vAlign w:val="center"/>
          </w:tcPr>
          <w:p w14:paraId="14FAED63" w14:textId="28515E9A" w:rsidR="009D5024" w:rsidRPr="00317A40" w:rsidRDefault="009D5024" w:rsidP="009D5024">
            <w:pPr>
              <w:pStyle w:val="ListBullet"/>
              <w:numPr>
                <w:ilvl w:val="0"/>
                <w:numId w:val="0"/>
              </w:numPr>
            </w:pPr>
            <w:r>
              <w:t>Cylinder Colour</w:t>
            </w:r>
          </w:p>
        </w:tc>
        <w:tc>
          <w:tcPr>
            <w:tcW w:w="5641" w:type="dxa"/>
            <w:gridSpan w:val="4"/>
            <w:shd w:val="clear" w:color="auto" w:fill="auto"/>
            <w:vAlign w:val="center"/>
          </w:tcPr>
          <w:p w14:paraId="7971AD3A" w14:textId="2B8D4864" w:rsidR="009D5024" w:rsidRPr="00317A40" w:rsidRDefault="009D5024" w:rsidP="009D5024">
            <w:pPr>
              <w:pStyle w:val="ListBullet"/>
              <w:numPr>
                <w:ilvl w:val="0"/>
                <w:numId w:val="0"/>
              </w:numPr>
              <w:jc w:val="center"/>
            </w:pPr>
            <w:r>
              <w:t>Brown</w:t>
            </w:r>
          </w:p>
        </w:tc>
      </w:tr>
      <w:tr w:rsidR="009D5024" w14:paraId="18C6968E" w14:textId="77777777" w:rsidTr="001D36FF">
        <w:trPr>
          <w:cantSplit/>
          <w:trHeight w:hRule="exact" w:val="397"/>
        </w:trPr>
        <w:tc>
          <w:tcPr>
            <w:tcW w:w="3114" w:type="dxa"/>
            <w:gridSpan w:val="2"/>
            <w:tcBorders>
              <w:bottom w:val="single" w:sz="4" w:space="0" w:color="auto"/>
            </w:tcBorders>
            <w:shd w:val="clear" w:color="auto" w:fill="auto"/>
            <w:vAlign w:val="center"/>
          </w:tcPr>
          <w:p w14:paraId="03E51501" w14:textId="2722298A" w:rsidR="009D5024" w:rsidRPr="003B2FF6" w:rsidRDefault="009D5024" w:rsidP="009D5024">
            <w:pPr>
              <w:pStyle w:val="ListBullet"/>
              <w:numPr>
                <w:ilvl w:val="0"/>
                <w:numId w:val="0"/>
              </w:numPr>
            </w:pPr>
            <w:r>
              <w:t>Outlet Connection</w:t>
            </w:r>
          </w:p>
        </w:tc>
        <w:tc>
          <w:tcPr>
            <w:tcW w:w="5641" w:type="dxa"/>
            <w:gridSpan w:val="4"/>
            <w:shd w:val="clear" w:color="auto" w:fill="auto"/>
            <w:vAlign w:val="center"/>
          </w:tcPr>
          <w:p w14:paraId="341B5CDF" w14:textId="0C9BFAA7" w:rsidR="009D5024" w:rsidRPr="00317A40" w:rsidRDefault="009D5024" w:rsidP="009D5024">
            <w:pPr>
              <w:pStyle w:val="ListBullet"/>
              <w:numPr>
                <w:ilvl w:val="0"/>
                <w:numId w:val="0"/>
              </w:numPr>
              <w:jc w:val="center"/>
            </w:pPr>
            <w:r>
              <w:t>Type 10</w:t>
            </w:r>
          </w:p>
        </w:tc>
      </w:tr>
      <w:tr w:rsidR="00E26550" w14:paraId="0E1608CE" w14:textId="77777777" w:rsidTr="001D36FF">
        <w:trPr>
          <w:cantSplit/>
          <w:trHeight w:hRule="exact" w:val="624"/>
        </w:trPr>
        <w:tc>
          <w:tcPr>
            <w:tcW w:w="1668" w:type="dxa"/>
            <w:tcBorders>
              <w:right w:val="nil"/>
            </w:tcBorders>
            <w:shd w:val="clear" w:color="auto" w:fill="auto"/>
            <w:vAlign w:val="center"/>
          </w:tcPr>
          <w:p w14:paraId="00B5DF18" w14:textId="105800EF" w:rsidR="00E26550" w:rsidRPr="00317A40" w:rsidRDefault="00E26550" w:rsidP="00E26550">
            <w:pPr>
              <w:pStyle w:val="ListBullet"/>
              <w:numPr>
                <w:ilvl w:val="0"/>
                <w:numId w:val="0"/>
              </w:numPr>
            </w:pPr>
            <w:r>
              <w:t>Dimensions (mm)</w:t>
            </w:r>
          </w:p>
        </w:tc>
        <w:tc>
          <w:tcPr>
            <w:tcW w:w="1446" w:type="dxa"/>
            <w:tcBorders>
              <w:left w:val="nil"/>
            </w:tcBorders>
            <w:shd w:val="clear" w:color="auto" w:fill="auto"/>
            <w:vAlign w:val="center"/>
          </w:tcPr>
          <w:p w14:paraId="1B288CD8" w14:textId="77777777" w:rsidR="00E26550" w:rsidRDefault="00E26550" w:rsidP="00E26550">
            <w:pPr>
              <w:pStyle w:val="ListBullet"/>
              <w:numPr>
                <w:ilvl w:val="0"/>
                <w:numId w:val="0"/>
              </w:numPr>
              <w:jc w:val="right"/>
            </w:pPr>
            <w:r>
              <w:t>Height</w:t>
            </w:r>
          </w:p>
          <w:p w14:paraId="158A7A43" w14:textId="7DB000E6" w:rsidR="00E26550" w:rsidRPr="00317A40" w:rsidRDefault="00E26550" w:rsidP="00E26550">
            <w:pPr>
              <w:pStyle w:val="ListBullet"/>
              <w:numPr>
                <w:ilvl w:val="0"/>
                <w:numId w:val="0"/>
              </w:numPr>
              <w:jc w:val="right"/>
            </w:pPr>
            <w:r>
              <w:t>Diameter</w:t>
            </w:r>
          </w:p>
        </w:tc>
        <w:tc>
          <w:tcPr>
            <w:tcW w:w="1417" w:type="dxa"/>
            <w:shd w:val="clear" w:color="auto" w:fill="auto"/>
            <w:vAlign w:val="center"/>
          </w:tcPr>
          <w:p w14:paraId="70ED368D" w14:textId="77777777" w:rsidR="00E26550" w:rsidRDefault="0044139D" w:rsidP="00E26550">
            <w:pPr>
              <w:pStyle w:val="ListBullet"/>
              <w:numPr>
                <w:ilvl w:val="0"/>
                <w:numId w:val="0"/>
              </w:numPr>
              <w:jc w:val="center"/>
            </w:pPr>
            <w:r>
              <w:t>640</w:t>
            </w:r>
          </w:p>
          <w:p w14:paraId="024508B1" w14:textId="27E7300A" w:rsidR="0044139D" w:rsidRPr="00F07E67" w:rsidRDefault="0044139D" w:rsidP="00E26550">
            <w:pPr>
              <w:pStyle w:val="ListBullet"/>
              <w:numPr>
                <w:ilvl w:val="0"/>
                <w:numId w:val="0"/>
              </w:numPr>
              <w:jc w:val="center"/>
            </w:pPr>
            <w:r>
              <w:t>117</w:t>
            </w:r>
          </w:p>
        </w:tc>
        <w:tc>
          <w:tcPr>
            <w:tcW w:w="1418" w:type="dxa"/>
            <w:shd w:val="clear" w:color="auto" w:fill="auto"/>
            <w:vAlign w:val="center"/>
          </w:tcPr>
          <w:p w14:paraId="0E1E184B" w14:textId="77777777" w:rsidR="00E26550" w:rsidRDefault="00E26550" w:rsidP="00E26550">
            <w:pPr>
              <w:pStyle w:val="ListBullet"/>
              <w:numPr>
                <w:ilvl w:val="0"/>
                <w:numId w:val="0"/>
              </w:numPr>
              <w:jc w:val="center"/>
            </w:pPr>
            <w:r>
              <w:t>645</w:t>
            </w:r>
          </w:p>
          <w:p w14:paraId="0126EA8B" w14:textId="2AA75307" w:rsidR="00E26550" w:rsidRPr="00F07E67" w:rsidRDefault="00E26550" w:rsidP="00E26550">
            <w:pPr>
              <w:pStyle w:val="ListBullet"/>
              <w:numPr>
                <w:ilvl w:val="0"/>
                <w:numId w:val="0"/>
              </w:numPr>
              <w:jc w:val="center"/>
            </w:pPr>
            <w:r>
              <w:t>180</w:t>
            </w:r>
          </w:p>
        </w:tc>
        <w:tc>
          <w:tcPr>
            <w:tcW w:w="1413" w:type="dxa"/>
            <w:shd w:val="clear" w:color="auto" w:fill="auto"/>
            <w:vAlign w:val="center"/>
          </w:tcPr>
          <w:p w14:paraId="2D023388" w14:textId="77777777" w:rsidR="00E26550" w:rsidRDefault="00E26550" w:rsidP="00E26550">
            <w:pPr>
              <w:pStyle w:val="ListBullet"/>
              <w:numPr>
                <w:ilvl w:val="0"/>
                <w:numId w:val="0"/>
              </w:numPr>
              <w:jc w:val="center"/>
            </w:pPr>
            <w:r>
              <w:t>1000</w:t>
            </w:r>
          </w:p>
          <w:p w14:paraId="2610A5C8" w14:textId="0373EBC8" w:rsidR="00E26550" w:rsidRPr="00F07E67" w:rsidRDefault="00E26550" w:rsidP="00E26550">
            <w:pPr>
              <w:pStyle w:val="ListBullet"/>
              <w:numPr>
                <w:ilvl w:val="0"/>
                <w:numId w:val="0"/>
              </w:numPr>
              <w:jc w:val="center"/>
            </w:pPr>
            <w:r>
              <w:t>220</w:t>
            </w:r>
          </w:p>
        </w:tc>
        <w:tc>
          <w:tcPr>
            <w:tcW w:w="1393" w:type="dxa"/>
            <w:shd w:val="clear" w:color="auto" w:fill="auto"/>
            <w:vAlign w:val="center"/>
          </w:tcPr>
          <w:p w14:paraId="764952A2" w14:textId="77777777" w:rsidR="00E26550" w:rsidRDefault="00E26550" w:rsidP="00E26550">
            <w:pPr>
              <w:pStyle w:val="ListBullet"/>
              <w:numPr>
                <w:ilvl w:val="0"/>
                <w:numId w:val="0"/>
              </w:numPr>
              <w:jc w:val="center"/>
            </w:pPr>
            <w:r>
              <w:t>1580</w:t>
            </w:r>
          </w:p>
          <w:p w14:paraId="1B4701A0" w14:textId="405CE413" w:rsidR="00E26550" w:rsidRPr="00F07E67" w:rsidRDefault="00E26550" w:rsidP="00E26550">
            <w:pPr>
              <w:pStyle w:val="ListBullet"/>
              <w:numPr>
                <w:ilvl w:val="0"/>
                <w:numId w:val="0"/>
              </w:numPr>
              <w:jc w:val="center"/>
            </w:pPr>
            <w:r>
              <w:t>230</w:t>
            </w:r>
          </w:p>
        </w:tc>
      </w:tr>
    </w:tbl>
    <w:p w14:paraId="05A1CA2E" w14:textId="77777777" w:rsidR="001F5EF4" w:rsidRDefault="001F5EF4" w:rsidP="001F5EF4">
      <w:pPr>
        <w:pStyle w:val="ListBullet"/>
        <w:numPr>
          <w:ilvl w:val="0"/>
          <w:numId w:val="0"/>
        </w:numPr>
        <w:jc w:val="right"/>
      </w:pPr>
      <w:r>
        <w:t>Cylinder dimensions are approximate – variations may occur due to manufacturing tolerances</w:t>
      </w:r>
    </w:p>
    <w:p w14:paraId="2AD60042" w14:textId="77777777" w:rsidR="001F5EF4" w:rsidRDefault="001F5EF4" w:rsidP="001F5EF4">
      <w:pPr>
        <w:pStyle w:val="ListBullet"/>
        <w:numPr>
          <w:ilvl w:val="0"/>
          <w:numId w:val="0"/>
        </w:numPr>
        <w:jc w:val="right"/>
      </w:pPr>
      <w:r>
        <w:t>Height includes the valve</w:t>
      </w:r>
    </w:p>
    <w:p w14:paraId="3F42A46A" w14:textId="77777777" w:rsidR="002768AC" w:rsidRDefault="002768AC" w:rsidP="002768AC">
      <w:pPr>
        <w:pStyle w:val="Heading3"/>
      </w:pPr>
    </w:p>
    <w:p w14:paraId="7AAA3BD0" w14:textId="77777777" w:rsidR="00B87C48" w:rsidRPr="002768AC" w:rsidRDefault="00286642" w:rsidP="002768AC">
      <w:pPr>
        <w:pStyle w:val="Heading3"/>
      </w:pPr>
      <w:r w:rsidRPr="002768AC">
        <w:t>Typical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105"/>
        <w:gridCol w:w="1106"/>
        <w:gridCol w:w="1105"/>
        <w:gridCol w:w="1106"/>
        <w:gridCol w:w="1219"/>
      </w:tblGrid>
      <w:tr w:rsidR="003F42CB" w14:paraId="7910D6D1" w14:textId="77777777" w:rsidTr="001D36FF">
        <w:trPr>
          <w:cantSplit/>
          <w:trHeight w:hRule="exact" w:val="624"/>
        </w:trPr>
        <w:tc>
          <w:tcPr>
            <w:tcW w:w="3114" w:type="dxa"/>
            <w:shd w:val="pct10" w:color="auto" w:fill="auto"/>
            <w:vAlign w:val="center"/>
          </w:tcPr>
          <w:p w14:paraId="6FC59B70" w14:textId="77777777" w:rsidR="003F42CB" w:rsidRPr="009D054A" w:rsidRDefault="003F42CB" w:rsidP="004B1803">
            <w:pPr>
              <w:pStyle w:val="ListBullet"/>
              <w:numPr>
                <w:ilvl w:val="0"/>
                <w:numId w:val="0"/>
              </w:numPr>
            </w:pPr>
            <w:r w:rsidRPr="009D054A">
              <w:t>PRODUCT NAME</w:t>
            </w:r>
          </w:p>
        </w:tc>
        <w:tc>
          <w:tcPr>
            <w:tcW w:w="1105" w:type="dxa"/>
            <w:shd w:val="pct10" w:color="auto" w:fill="auto"/>
            <w:vAlign w:val="center"/>
          </w:tcPr>
          <w:p w14:paraId="0657B602" w14:textId="49518B86" w:rsidR="003F42CB" w:rsidRPr="009D054A" w:rsidRDefault="00296214" w:rsidP="004B1803">
            <w:pPr>
              <w:pStyle w:val="ListBullet"/>
              <w:numPr>
                <w:ilvl w:val="0"/>
                <w:numId w:val="0"/>
              </w:numPr>
              <w:jc w:val="center"/>
            </w:pPr>
            <w:r>
              <w:t>He</w:t>
            </w:r>
          </w:p>
        </w:tc>
        <w:tc>
          <w:tcPr>
            <w:tcW w:w="1106" w:type="dxa"/>
            <w:shd w:val="pct10" w:color="auto" w:fill="auto"/>
            <w:vAlign w:val="center"/>
          </w:tcPr>
          <w:p w14:paraId="0AE901B7" w14:textId="50EE318F" w:rsidR="003F42CB" w:rsidRPr="00296214" w:rsidRDefault="00296214" w:rsidP="004B1803">
            <w:pPr>
              <w:pStyle w:val="ListBullet"/>
              <w:numPr>
                <w:ilvl w:val="0"/>
                <w:numId w:val="0"/>
              </w:numPr>
              <w:jc w:val="center"/>
              <w:rPr>
                <w:vertAlign w:val="subscript"/>
              </w:rPr>
            </w:pPr>
            <w:r>
              <w:t>N</w:t>
            </w:r>
            <w:r>
              <w:rPr>
                <w:vertAlign w:val="subscript"/>
              </w:rPr>
              <w:t>2</w:t>
            </w:r>
          </w:p>
        </w:tc>
        <w:tc>
          <w:tcPr>
            <w:tcW w:w="1105" w:type="dxa"/>
            <w:shd w:val="pct10" w:color="auto" w:fill="auto"/>
            <w:vAlign w:val="center"/>
          </w:tcPr>
          <w:p w14:paraId="27F37DDB" w14:textId="77777777" w:rsidR="003F42CB" w:rsidRPr="009D054A" w:rsidRDefault="003F42CB" w:rsidP="004B1803">
            <w:pPr>
              <w:pStyle w:val="ListBullet"/>
              <w:numPr>
                <w:ilvl w:val="0"/>
                <w:numId w:val="0"/>
              </w:numPr>
              <w:jc w:val="center"/>
            </w:pPr>
            <w:r w:rsidRPr="009D054A">
              <w:t>O</w:t>
            </w:r>
            <w:r w:rsidRPr="00296214">
              <w:rPr>
                <w:vertAlign w:val="subscript"/>
              </w:rPr>
              <w:t>2</w:t>
            </w:r>
          </w:p>
        </w:tc>
        <w:tc>
          <w:tcPr>
            <w:tcW w:w="1106" w:type="dxa"/>
            <w:shd w:val="pct10" w:color="auto" w:fill="auto"/>
            <w:vAlign w:val="center"/>
          </w:tcPr>
          <w:p w14:paraId="43301320" w14:textId="77777777" w:rsidR="003F42CB" w:rsidRPr="009D054A" w:rsidRDefault="003F42CB" w:rsidP="004B1803">
            <w:pPr>
              <w:pStyle w:val="ListBullet"/>
              <w:numPr>
                <w:ilvl w:val="0"/>
                <w:numId w:val="0"/>
              </w:numPr>
              <w:jc w:val="center"/>
            </w:pPr>
            <w:r w:rsidRPr="009D054A">
              <w:t>Moisture</w:t>
            </w:r>
          </w:p>
        </w:tc>
        <w:tc>
          <w:tcPr>
            <w:tcW w:w="1219" w:type="dxa"/>
            <w:shd w:val="pct10" w:color="auto" w:fill="auto"/>
            <w:vAlign w:val="center"/>
          </w:tcPr>
          <w:p w14:paraId="265A80ED" w14:textId="77777777" w:rsidR="003F42CB" w:rsidRPr="009D054A" w:rsidRDefault="003F42CB" w:rsidP="004B1803">
            <w:pPr>
              <w:pStyle w:val="ListBullet"/>
              <w:numPr>
                <w:ilvl w:val="0"/>
                <w:numId w:val="0"/>
              </w:numPr>
              <w:jc w:val="center"/>
            </w:pPr>
            <w:proofErr w:type="spellStart"/>
            <w:r w:rsidRPr="009D054A">
              <w:t>CxHy</w:t>
            </w:r>
            <w:proofErr w:type="spellEnd"/>
          </w:p>
        </w:tc>
      </w:tr>
      <w:tr w:rsidR="003F42CB" w14:paraId="1A693D62" w14:textId="77777777" w:rsidTr="001D36FF">
        <w:trPr>
          <w:cantSplit/>
          <w:trHeight w:hRule="exact" w:val="624"/>
        </w:trPr>
        <w:tc>
          <w:tcPr>
            <w:tcW w:w="3114" w:type="dxa"/>
            <w:shd w:val="clear" w:color="auto" w:fill="auto"/>
            <w:vAlign w:val="center"/>
          </w:tcPr>
          <w:p w14:paraId="160DFE26" w14:textId="2120E8ED" w:rsidR="003F42CB" w:rsidRPr="003B2FF6" w:rsidRDefault="003F42CB" w:rsidP="004B1803">
            <w:pPr>
              <w:pStyle w:val="ListBullet"/>
              <w:numPr>
                <w:ilvl w:val="0"/>
                <w:numId w:val="0"/>
              </w:numPr>
            </w:pPr>
            <w:r>
              <w:t xml:space="preserve">UHP </w:t>
            </w:r>
            <w:proofErr w:type="spellStart"/>
            <w:r>
              <w:t>Heliun</w:t>
            </w:r>
            <w:proofErr w:type="spellEnd"/>
          </w:p>
        </w:tc>
        <w:tc>
          <w:tcPr>
            <w:tcW w:w="1105" w:type="dxa"/>
            <w:shd w:val="clear" w:color="auto" w:fill="auto"/>
            <w:vAlign w:val="center"/>
          </w:tcPr>
          <w:p w14:paraId="3EEEF2B3" w14:textId="3535D1C6" w:rsidR="003F42CB" w:rsidRPr="00317A40" w:rsidRDefault="00296214" w:rsidP="004B1803">
            <w:pPr>
              <w:pStyle w:val="ListBullet"/>
              <w:numPr>
                <w:ilvl w:val="0"/>
                <w:numId w:val="0"/>
              </w:numPr>
              <w:jc w:val="center"/>
            </w:pPr>
            <w:r>
              <w:t>&gt;99.99</w:t>
            </w:r>
            <w:r w:rsidR="0095092F">
              <w:t>9%</w:t>
            </w:r>
          </w:p>
        </w:tc>
        <w:tc>
          <w:tcPr>
            <w:tcW w:w="1106" w:type="dxa"/>
            <w:shd w:val="clear" w:color="auto" w:fill="auto"/>
            <w:vAlign w:val="center"/>
          </w:tcPr>
          <w:p w14:paraId="31DBB2C6" w14:textId="5FEACE56" w:rsidR="003F42CB" w:rsidRPr="00317A40" w:rsidRDefault="00FD3E50" w:rsidP="004B1803">
            <w:pPr>
              <w:pStyle w:val="ListBullet"/>
              <w:numPr>
                <w:ilvl w:val="0"/>
                <w:numId w:val="0"/>
              </w:numPr>
              <w:jc w:val="center"/>
            </w:pPr>
            <w:r>
              <w:t>&lt; 5 ppm</w:t>
            </w:r>
          </w:p>
        </w:tc>
        <w:tc>
          <w:tcPr>
            <w:tcW w:w="1105" w:type="dxa"/>
            <w:shd w:val="clear" w:color="auto" w:fill="auto"/>
            <w:vAlign w:val="center"/>
          </w:tcPr>
          <w:p w14:paraId="54662DE5" w14:textId="37AD7A52" w:rsidR="003F42CB" w:rsidRPr="00317A40" w:rsidRDefault="00D85914" w:rsidP="004B1803">
            <w:pPr>
              <w:pStyle w:val="ListBullet"/>
              <w:numPr>
                <w:ilvl w:val="0"/>
                <w:numId w:val="0"/>
              </w:numPr>
              <w:jc w:val="center"/>
            </w:pPr>
            <w:r>
              <w:t>&lt; 2 ppm</w:t>
            </w:r>
          </w:p>
        </w:tc>
        <w:tc>
          <w:tcPr>
            <w:tcW w:w="1106" w:type="dxa"/>
            <w:shd w:val="clear" w:color="auto" w:fill="auto"/>
            <w:vAlign w:val="center"/>
          </w:tcPr>
          <w:p w14:paraId="6EFB8D78" w14:textId="2A986CA8" w:rsidR="003F42CB" w:rsidRPr="00317A40" w:rsidRDefault="00D85914" w:rsidP="004B1803">
            <w:pPr>
              <w:pStyle w:val="ListBullet"/>
              <w:numPr>
                <w:ilvl w:val="0"/>
                <w:numId w:val="0"/>
              </w:numPr>
              <w:jc w:val="center"/>
            </w:pPr>
            <w:r>
              <w:t>&lt; 3 ppm</w:t>
            </w:r>
          </w:p>
        </w:tc>
        <w:tc>
          <w:tcPr>
            <w:tcW w:w="1219" w:type="dxa"/>
            <w:shd w:val="clear" w:color="auto" w:fill="auto"/>
            <w:vAlign w:val="center"/>
          </w:tcPr>
          <w:p w14:paraId="436F2848" w14:textId="2F69768D" w:rsidR="003F42CB" w:rsidRPr="00317A40" w:rsidRDefault="00D85914" w:rsidP="004B1803">
            <w:pPr>
              <w:pStyle w:val="ListBullet"/>
              <w:numPr>
                <w:ilvl w:val="0"/>
                <w:numId w:val="0"/>
              </w:numPr>
              <w:jc w:val="center"/>
            </w:pPr>
            <w:r>
              <w:t>&lt; 0.5 ppm</w:t>
            </w:r>
          </w:p>
        </w:tc>
      </w:tr>
      <w:tr w:rsidR="003F42CB" w14:paraId="4E20A7FB" w14:textId="77777777" w:rsidTr="001D36FF">
        <w:trPr>
          <w:cantSplit/>
          <w:trHeight w:hRule="exact" w:val="624"/>
        </w:trPr>
        <w:tc>
          <w:tcPr>
            <w:tcW w:w="3114" w:type="dxa"/>
            <w:shd w:val="clear" w:color="auto" w:fill="auto"/>
            <w:vAlign w:val="center"/>
          </w:tcPr>
          <w:p w14:paraId="5264894E" w14:textId="3247D309" w:rsidR="003F42CB" w:rsidRPr="00317A40" w:rsidRDefault="003F42CB" w:rsidP="004B1803">
            <w:pPr>
              <w:pStyle w:val="ListBullet"/>
              <w:numPr>
                <w:ilvl w:val="0"/>
                <w:numId w:val="0"/>
              </w:numPr>
            </w:pPr>
            <w:r>
              <w:t>HP Helium</w:t>
            </w:r>
          </w:p>
        </w:tc>
        <w:tc>
          <w:tcPr>
            <w:tcW w:w="1105" w:type="dxa"/>
            <w:shd w:val="clear" w:color="auto" w:fill="auto"/>
            <w:vAlign w:val="center"/>
          </w:tcPr>
          <w:p w14:paraId="74447178" w14:textId="4B11B671" w:rsidR="003F42CB" w:rsidRPr="00317A40" w:rsidRDefault="00D85914" w:rsidP="004B1803">
            <w:pPr>
              <w:pStyle w:val="ListBullet"/>
              <w:numPr>
                <w:ilvl w:val="0"/>
                <w:numId w:val="0"/>
              </w:numPr>
              <w:jc w:val="center"/>
            </w:pPr>
            <w:r>
              <w:t>&gt;99.999%</w:t>
            </w:r>
          </w:p>
        </w:tc>
        <w:tc>
          <w:tcPr>
            <w:tcW w:w="1106" w:type="dxa"/>
            <w:shd w:val="clear" w:color="auto" w:fill="auto"/>
            <w:vAlign w:val="center"/>
          </w:tcPr>
          <w:p w14:paraId="75F451B8" w14:textId="1FC30DAC" w:rsidR="003F42CB" w:rsidRPr="00317A40" w:rsidRDefault="00AF14DD" w:rsidP="004B1803">
            <w:pPr>
              <w:pStyle w:val="ListBullet"/>
              <w:numPr>
                <w:ilvl w:val="0"/>
                <w:numId w:val="0"/>
              </w:numPr>
              <w:jc w:val="center"/>
            </w:pPr>
            <w:r>
              <w:t>&lt; 10 ppm</w:t>
            </w:r>
          </w:p>
        </w:tc>
        <w:tc>
          <w:tcPr>
            <w:tcW w:w="1105" w:type="dxa"/>
            <w:shd w:val="clear" w:color="auto" w:fill="auto"/>
            <w:vAlign w:val="center"/>
          </w:tcPr>
          <w:p w14:paraId="38EFFEA0" w14:textId="0549E4C4" w:rsidR="003F42CB" w:rsidRPr="00317A40" w:rsidRDefault="00AF14DD" w:rsidP="004B1803">
            <w:pPr>
              <w:pStyle w:val="ListBullet"/>
              <w:numPr>
                <w:ilvl w:val="0"/>
                <w:numId w:val="0"/>
              </w:numPr>
              <w:jc w:val="center"/>
            </w:pPr>
            <w:r>
              <w:t>&lt; 5 ppm</w:t>
            </w:r>
          </w:p>
        </w:tc>
        <w:tc>
          <w:tcPr>
            <w:tcW w:w="1106" w:type="dxa"/>
            <w:shd w:val="clear" w:color="auto" w:fill="auto"/>
            <w:vAlign w:val="center"/>
          </w:tcPr>
          <w:p w14:paraId="6A08007C" w14:textId="2223F1D4" w:rsidR="003F42CB" w:rsidRPr="00317A40" w:rsidRDefault="00AF14DD" w:rsidP="004B1803">
            <w:pPr>
              <w:pStyle w:val="ListBullet"/>
              <w:numPr>
                <w:ilvl w:val="0"/>
                <w:numId w:val="0"/>
              </w:numPr>
              <w:jc w:val="center"/>
            </w:pPr>
            <w:r>
              <w:t>&lt; 20 ppm</w:t>
            </w:r>
          </w:p>
        </w:tc>
        <w:tc>
          <w:tcPr>
            <w:tcW w:w="1219" w:type="dxa"/>
            <w:shd w:val="clear" w:color="auto" w:fill="auto"/>
            <w:vAlign w:val="center"/>
          </w:tcPr>
          <w:p w14:paraId="5007965F" w14:textId="7BF5CC52" w:rsidR="003F42CB" w:rsidRPr="00317A40" w:rsidRDefault="00D85914" w:rsidP="004B1803">
            <w:pPr>
              <w:pStyle w:val="ListBullet"/>
              <w:numPr>
                <w:ilvl w:val="0"/>
                <w:numId w:val="0"/>
              </w:numPr>
              <w:jc w:val="center"/>
            </w:pPr>
            <w:r>
              <w:t>-</w:t>
            </w:r>
          </w:p>
        </w:tc>
      </w:tr>
      <w:tr w:rsidR="003F42CB" w14:paraId="07894D82" w14:textId="77777777" w:rsidTr="001D36FF">
        <w:trPr>
          <w:cantSplit/>
          <w:trHeight w:hRule="exact" w:val="624"/>
        </w:trPr>
        <w:tc>
          <w:tcPr>
            <w:tcW w:w="3114" w:type="dxa"/>
            <w:shd w:val="clear" w:color="auto" w:fill="auto"/>
            <w:vAlign w:val="center"/>
          </w:tcPr>
          <w:p w14:paraId="55D9307C" w14:textId="16A6A855" w:rsidR="003F42CB" w:rsidRPr="003B2FF6" w:rsidRDefault="003F42CB" w:rsidP="004B1803">
            <w:pPr>
              <w:pStyle w:val="ListBullet"/>
              <w:numPr>
                <w:ilvl w:val="0"/>
                <w:numId w:val="0"/>
              </w:numPr>
            </w:pPr>
            <w:r>
              <w:t>Industrial Helium</w:t>
            </w:r>
          </w:p>
        </w:tc>
        <w:tc>
          <w:tcPr>
            <w:tcW w:w="1105" w:type="dxa"/>
            <w:shd w:val="clear" w:color="auto" w:fill="auto"/>
            <w:vAlign w:val="center"/>
          </w:tcPr>
          <w:p w14:paraId="45CE0072" w14:textId="3E737675" w:rsidR="003F42CB" w:rsidRPr="00317A40" w:rsidRDefault="00124799" w:rsidP="00124799">
            <w:pPr>
              <w:pStyle w:val="ListBullet"/>
              <w:numPr>
                <w:ilvl w:val="0"/>
                <w:numId w:val="0"/>
              </w:numPr>
              <w:ind w:left="227" w:hanging="227"/>
              <w:jc w:val="center"/>
            </w:pPr>
            <w:r>
              <w:t>&gt;99%</w:t>
            </w:r>
          </w:p>
        </w:tc>
        <w:tc>
          <w:tcPr>
            <w:tcW w:w="1106" w:type="dxa"/>
            <w:shd w:val="clear" w:color="auto" w:fill="auto"/>
            <w:vAlign w:val="center"/>
          </w:tcPr>
          <w:p w14:paraId="0825D8E5" w14:textId="6E944C07" w:rsidR="003F42CB" w:rsidRPr="00317A40" w:rsidRDefault="00124799" w:rsidP="004B1803">
            <w:pPr>
              <w:pStyle w:val="ListBullet"/>
              <w:numPr>
                <w:ilvl w:val="0"/>
                <w:numId w:val="0"/>
              </w:numPr>
              <w:jc w:val="center"/>
            </w:pPr>
            <w:r>
              <w:t>-</w:t>
            </w:r>
          </w:p>
        </w:tc>
        <w:tc>
          <w:tcPr>
            <w:tcW w:w="1105" w:type="dxa"/>
            <w:shd w:val="clear" w:color="auto" w:fill="auto"/>
            <w:vAlign w:val="center"/>
          </w:tcPr>
          <w:p w14:paraId="2EFE867C" w14:textId="6AD04FE2" w:rsidR="003F42CB" w:rsidRPr="00317A40" w:rsidRDefault="00124799" w:rsidP="004B1803">
            <w:pPr>
              <w:pStyle w:val="ListBullet"/>
              <w:numPr>
                <w:ilvl w:val="0"/>
                <w:numId w:val="0"/>
              </w:numPr>
              <w:jc w:val="center"/>
            </w:pPr>
            <w:r>
              <w:t>&lt; 1%</w:t>
            </w:r>
          </w:p>
        </w:tc>
        <w:tc>
          <w:tcPr>
            <w:tcW w:w="1106" w:type="dxa"/>
            <w:shd w:val="clear" w:color="auto" w:fill="auto"/>
            <w:vAlign w:val="center"/>
          </w:tcPr>
          <w:p w14:paraId="757A0CD9" w14:textId="0DB6A29F" w:rsidR="003F42CB" w:rsidRPr="00317A40" w:rsidRDefault="003F42CB" w:rsidP="004B1803">
            <w:pPr>
              <w:pStyle w:val="ListBullet"/>
              <w:numPr>
                <w:ilvl w:val="0"/>
                <w:numId w:val="0"/>
              </w:numPr>
              <w:jc w:val="center"/>
            </w:pPr>
          </w:p>
        </w:tc>
        <w:tc>
          <w:tcPr>
            <w:tcW w:w="1219" w:type="dxa"/>
            <w:shd w:val="clear" w:color="auto" w:fill="auto"/>
            <w:vAlign w:val="center"/>
          </w:tcPr>
          <w:p w14:paraId="664BDDCF" w14:textId="1FAC6279" w:rsidR="003F42CB" w:rsidRPr="00317A40" w:rsidRDefault="00D85914" w:rsidP="004B1803">
            <w:pPr>
              <w:pStyle w:val="ListBullet"/>
              <w:numPr>
                <w:ilvl w:val="0"/>
                <w:numId w:val="0"/>
              </w:numPr>
              <w:jc w:val="center"/>
            </w:pPr>
            <w:r>
              <w:t>-</w:t>
            </w:r>
          </w:p>
        </w:tc>
      </w:tr>
    </w:tbl>
    <w:p w14:paraId="396F18A4" w14:textId="77777777" w:rsidR="00B87C48" w:rsidRDefault="00B87C48" w:rsidP="002768AC">
      <w:pPr>
        <w:pStyle w:val="ListBullet"/>
        <w:numPr>
          <w:ilvl w:val="0"/>
          <w:numId w:val="0"/>
        </w:numPr>
      </w:pPr>
    </w:p>
    <w:p w14:paraId="0C6D792F" w14:textId="7112A498" w:rsidR="00286642" w:rsidRDefault="00286642" w:rsidP="00613BA3">
      <w:r>
        <w:rPr>
          <w:sz w:val="28"/>
          <w:szCs w:val="28"/>
        </w:rPr>
        <w:br w:type="page"/>
      </w:r>
    </w:p>
    <w:p w14:paraId="5ECEA95C" w14:textId="77777777" w:rsidR="009D054A" w:rsidRDefault="009D054A" w:rsidP="002768AC">
      <w:pPr>
        <w:pStyle w:val="ListBullet"/>
        <w:numPr>
          <w:ilvl w:val="0"/>
          <w:numId w:val="0"/>
        </w:numPr>
        <w:sectPr w:rsidR="009D054A" w:rsidSect="001D36FF">
          <w:headerReference w:type="default" r:id="rId8"/>
          <w:footerReference w:type="default" r:id="rId9"/>
          <w:headerReference w:type="first" r:id="rId10"/>
          <w:footerReference w:type="first" r:id="rId11"/>
          <w:pgSz w:w="11900" w:h="16840"/>
          <w:pgMar w:top="1151" w:right="1814" w:bottom="1440" w:left="1440" w:header="709" w:footer="709" w:gutter="0"/>
          <w:cols w:space="708"/>
          <w:titlePg/>
          <w:docGrid w:linePitch="360"/>
        </w:sectPr>
      </w:pPr>
    </w:p>
    <w:p w14:paraId="05045F3E" w14:textId="77777777" w:rsidR="001D23CE" w:rsidRPr="002D1240" w:rsidRDefault="001D23CE" w:rsidP="001D23CE">
      <w:pPr>
        <w:pStyle w:val="Heading3"/>
      </w:pPr>
      <w:bookmarkStart w:id="0" w:name="_Toc40259669"/>
      <w:r w:rsidRPr="002D1240">
        <w:t>Description</w:t>
      </w:r>
      <w:bookmarkEnd w:id="0"/>
      <w:r w:rsidRPr="002D1240">
        <w:t xml:space="preserve"> </w:t>
      </w:r>
    </w:p>
    <w:p w14:paraId="40BA3566" w14:textId="77777777" w:rsidR="001D23CE" w:rsidRPr="002D1240" w:rsidRDefault="001D23CE" w:rsidP="001D23CE">
      <w:pPr>
        <w:pStyle w:val="TableStyle2"/>
        <w:rPr>
          <w:rFonts w:ascii="Calibri" w:hAnsi="Calibri"/>
        </w:rPr>
      </w:pPr>
      <w:r w:rsidRPr="002D1240">
        <w:rPr>
          <w:rFonts w:ascii="Calibri" w:hAnsi="Calibri"/>
          <w:lang w:val="en-US"/>
        </w:rPr>
        <w:t xml:space="preserve">Helium is a light, non-flammable gas which is </w:t>
      </w:r>
      <w:proofErr w:type="spellStart"/>
      <w:r w:rsidRPr="002D1240">
        <w:rPr>
          <w:rFonts w:ascii="Calibri" w:hAnsi="Calibri"/>
          <w:lang w:val="en-US"/>
        </w:rPr>
        <w:t>colourless</w:t>
      </w:r>
      <w:proofErr w:type="spellEnd"/>
      <w:r w:rsidRPr="002D1240">
        <w:rPr>
          <w:rFonts w:ascii="Calibri" w:hAnsi="Calibri"/>
          <w:lang w:val="en-US"/>
        </w:rPr>
        <w:t xml:space="preserve">, </w:t>
      </w:r>
      <w:proofErr w:type="spellStart"/>
      <w:r w:rsidRPr="002D1240">
        <w:rPr>
          <w:rFonts w:ascii="Calibri" w:hAnsi="Calibri"/>
          <w:lang w:val="en-US"/>
        </w:rPr>
        <w:t>odourless</w:t>
      </w:r>
      <w:proofErr w:type="spellEnd"/>
      <w:r w:rsidRPr="002D1240">
        <w:rPr>
          <w:rFonts w:ascii="Calibri" w:hAnsi="Calibri"/>
          <w:lang w:val="en-US"/>
        </w:rPr>
        <w:t xml:space="preserve"> and tasteless. It is non-toxic and is almost a totally inert gas. Significantly is </w:t>
      </w:r>
      <w:proofErr w:type="spellStart"/>
      <w:r w:rsidRPr="002D1240">
        <w:rPr>
          <w:rFonts w:ascii="Calibri" w:hAnsi="Calibri"/>
          <w:lang w:val="en-US"/>
        </w:rPr>
        <w:t>is</w:t>
      </w:r>
      <w:proofErr w:type="spellEnd"/>
      <w:r w:rsidRPr="002D1240">
        <w:rPr>
          <w:rFonts w:ascii="Calibri" w:hAnsi="Calibri"/>
          <w:lang w:val="en-US"/>
        </w:rPr>
        <w:t xml:space="preserve"> lighter than air.</w:t>
      </w:r>
    </w:p>
    <w:p w14:paraId="429F538F" w14:textId="77777777" w:rsidR="001D23CE" w:rsidRPr="002D1240" w:rsidRDefault="001D23CE" w:rsidP="001D23CE">
      <w:pPr>
        <w:pStyle w:val="TableStyle2"/>
        <w:rPr>
          <w:rFonts w:ascii="Calibri" w:hAnsi="Calibri"/>
        </w:rPr>
      </w:pPr>
    </w:p>
    <w:p w14:paraId="7555760E" w14:textId="77777777" w:rsidR="001D23CE" w:rsidRPr="002D1240" w:rsidRDefault="001D23CE" w:rsidP="001D23CE">
      <w:pPr>
        <w:pStyle w:val="Heading3"/>
      </w:pPr>
      <w:bookmarkStart w:id="1" w:name="_Toc40259670"/>
      <w:r w:rsidRPr="002D1240">
        <w:t>Typical Uses</w:t>
      </w:r>
      <w:bookmarkEnd w:id="1"/>
    </w:p>
    <w:p w14:paraId="6C17CAF1"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Balloon inflation</w:t>
      </w:r>
    </w:p>
    <w:p w14:paraId="67D17915"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Welding gas mixtures</w:t>
      </w:r>
    </w:p>
    <w:p w14:paraId="6A1F0C71"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Gas chromatography</w:t>
      </w:r>
    </w:p>
    <w:p w14:paraId="442D47E2"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Glass production</w:t>
      </w:r>
    </w:p>
    <w:p w14:paraId="182B741C"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Leak detection</w:t>
      </w:r>
    </w:p>
    <w:p w14:paraId="561202D4"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Heat transfer</w:t>
      </w:r>
    </w:p>
    <w:p w14:paraId="0C0362C0"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Gas lasers</w:t>
      </w:r>
    </w:p>
    <w:p w14:paraId="78F00A28"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Breathing gas mixtures</w:t>
      </w:r>
    </w:p>
    <w:p w14:paraId="2BC29964"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Medical gas mixtures</w:t>
      </w:r>
    </w:p>
    <w:p w14:paraId="63836AB7"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Scientific research</w:t>
      </w:r>
    </w:p>
    <w:p w14:paraId="43A1E312"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Purging gas for metallurgical processes</w:t>
      </w:r>
    </w:p>
    <w:p w14:paraId="3490F54B" w14:textId="77777777" w:rsidR="001D23CE" w:rsidRPr="002D1240" w:rsidRDefault="001D23CE" w:rsidP="001D23CE">
      <w:pPr>
        <w:pStyle w:val="TableStyle2"/>
        <w:rPr>
          <w:rFonts w:ascii="Calibri" w:hAnsi="Calibri"/>
        </w:rPr>
      </w:pPr>
    </w:p>
    <w:p w14:paraId="381F0A39" w14:textId="77777777" w:rsidR="001D23CE" w:rsidRPr="002D1240" w:rsidRDefault="001D23CE" w:rsidP="001D23CE">
      <w:pPr>
        <w:pStyle w:val="Heading3"/>
      </w:pPr>
      <w:bookmarkStart w:id="2" w:name="_Toc40259671"/>
      <w:r w:rsidRPr="002D1240">
        <w:t>Main hazards</w:t>
      </w:r>
      <w:bookmarkEnd w:id="2"/>
    </w:p>
    <w:p w14:paraId="108E2E61" w14:textId="77777777" w:rsidR="001D23CE" w:rsidRPr="002D1240" w:rsidRDefault="001D23CE" w:rsidP="001D23CE">
      <w:pPr>
        <w:pStyle w:val="TableStyle2"/>
        <w:rPr>
          <w:rFonts w:ascii="Calibri" w:hAnsi="Calibri"/>
        </w:rPr>
      </w:pPr>
      <w:r w:rsidRPr="002D1240">
        <w:rPr>
          <w:rFonts w:ascii="Calibri" w:hAnsi="Calibri"/>
          <w:lang w:val="en-US"/>
        </w:rPr>
        <w:t>Helium is non-flammable. Although considered non-toxic, its presence in large quantities increases breathing rates and ultimately leads to paralysis of the respiratory system. Helium should never be allowed to escape in large quantities into confined spaces. Always ensure the cylinders are kept cool below 45°</w:t>
      </w:r>
      <w:proofErr w:type="gramStart"/>
      <w:r w:rsidRPr="002D1240">
        <w:rPr>
          <w:rFonts w:ascii="Calibri" w:hAnsi="Calibri"/>
          <w:lang w:val="en-US"/>
        </w:rPr>
        <w:t>C .</w:t>
      </w:r>
      <w:proofErr w:type="gramEnd"/>
      <w:r w:rsidRPr="002D1240">
        <w:rPr>
          <w:rFonts w:ascii="Calibri" w:hAnsi="Calibri"/>
          <w:lang w:val="en-US"/>
        </w:rPr>
        <w:t xml:space="preserve"> Store upright in a cool </w:t>
      </w:r>
      <w:proofErr w:type="gramStart"/>
      <w:r w:rsidRPr="002D1240">
        <w:rPr>
          <w:rFonts w:ascii="Calibri" w:hAnsi="Calibri"/>
          <w:lang w:val="en-US"/>
        </w:rPr>
        <w:t>well ventilated</w:t>
      </w:r>
      <w:proofErr w:type="gramEnd"/>
      <w:r w:rsidRPr="002D1240">
        <w:rPr>
          <w:rFonts w:ascii="Calibri" w:hAnsi="Calibri"/>
          <w:lang w:val="en-US"/>
        </w:rPr>
        <w:t xml:space="preserve"> area. Keep free from mechanical shock. </w:t>
      </w:r>
    </w:p>
    <w:p w14:paraId="3995EE85" w14:textId="77777777" w:rsidR="001D23CE" w:rsidRPr="002D1240" w:rsidRDefault="001D23CE" w:rsidP="001D23CE">
      <w:pPr>
        <w:pStyle w:val="TableStyle2"/>
        <w:rPr>
          <w:rFonts w:ascii="Calibri" w:hAnsi="Calibri"/>
        </w:rPr>
      </w:pPr>
    </w:p>
    <w:p w14:paraId="47EC2F65" w14:textId="066301D1" w:rsidR="001D23CE" w:rsidRPr="002D1240" w:rsidRDefault="00FF3DB8" w:rsidP="001D23CE">
      <w:pPr>
        <w:pStyle w:val="Heading3"/>
      </w:pPr>
      <w:bookmarkStart w:id="3" w:name="_Toc40259672"/>
      <w:r>
        <w:br w:type="column"/>
      </w:r>
      <w:r w:rsidR="001D23CE" w:rsidRPr="002D1240">
        <w:t>Storage and handling</w:t>
      </w:r>
      <w:bookmarkEnd w:id="3"/>
    </w:p>
    <w:p w14:paraId="03DD65D3"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Keep cylinders upright and protect the valves form physical damage. Secure cylinders when standing.</w:t>
      </w:r>
    </w:p>
    <w:p w14:paraId="5F97FA6F"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 xml:space="preserve">Ensure storage area is well ventilated. Check regularly for leaks. Close all valves when not in use. </w:t>
      </w:r>
    </w:p>
    <w:p w14:paraId="646F69A9"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 xml:space="preserve">Do not attempt to transfer contents from one cylinder to another without checking with Speed Gas for correct procedure. </w:t>
      </w:r>
    </w:p>
    <w:p w14:paraId="606F8CD6"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Close valves when not in use and when empty, check regularly for leaks.</w:t>
      </w:r>
    </w:p>
    <w:p w14:paraId="327AC569"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If valve is damaged, do not attempt to operate.</w:t>
      </w:r>
    </w:p>
    <w:p w14:paraId="2AF4148E" w14:textId="77777777" w:rsidR="001D23CE" w:rsidRPr="002D1240" w:rsidRDefault="001D23CE" w:rsidP="001D23CE">
      <w:pPr>
        <w:pStyle w:val="TableStyle2"/>
        <w:numPr>
          <w:ilvl w:val="0"/>
          <w:numId w:val="7"/>
        </w:numPr>
        <w:rPr>
          <w:rFonts w:ascii="Calibri" w:hAnsi="Calibri"/>
          <w:lang w:val="en-US"/>
        </w:rPr>
      </w:pPr>
      <w:r w:rsidRPr="002D1240">
        <w:rPr>
          <w:rFonts w:ascii="Calibri" w:hAnsi="Calibri"/>
          <w:lang w:val="en-US"/>
        </w:rPr>
        <w:t xml:space="preserve">If valve does not operate by hand, return the cylinder to the supplier (attach a “faulty” tag). </w:t>
      </w:r>
    </w:p>
    <w:p w14:paraId="70C54308" w14:textId="77777777" w:rsidR="001D23CE" w:rsidRPr="002D1240" w:rsidRDefault="001D23CE" w:rsidP="001D23CE">
      <w:pPr>
        <w:pStyle w:val="TableStyle2"/>
        <w:rPr>
          <w:rFonts w:ascii="Calibri" w:hAnsi="Calibri"/>
        </w:rPr>
      </w:pPr>
    </w:p>
    <w:p w14:paraId="5AA973A1" w14:textId="77777777" w:rsidR="001D23CE" w:rsidRPr="002D1240" w:rsidRDefault="001D23CE" w:rsidP="001D23CE">
      <w:pPr>
        <w:pStyle w:val="TableStyle2"/>
        <w:rPr>
          <w:rFonts w:ascii="Calibri" w:hAnsi="Calibri"/>
        </w:rPr>
      </w:pPr>
      <w:r w:rsidRPr="002D1240">
        <w:rPr>
          <w:rFonts w:ascii="Calibri" w:hAnsi="Calibri"/>
          <w:lang w:val="en-US"/>
        </w:rPr>
        <w:t xml:space="preserve">N.B. Only regulators, </w:t>
      </w:r>
      <w:proofErr w:type="gramStart"/>
      <w:r w:rsidRPr="002D1240">
        <w:rPr>
          <w:rFonts w:ascii="Calibri" w:hAnsi="Calibri"/>
          <w:lang w:val="en-US"/>
        </w:rPr>
        <w:t>manifolds</w:t>
      </w:r>
      <w:proofErr w:type="gramEnd"/>
      <w:r w:rsidRPr="002D1240">
        <w:rPr>
          <w:rFonts w:ascii="Calibri" w:hAnsi="Calibri"/>
          <w:lang w:val="en-US"/>
        </w:rPr>
        <w:t xml:space="preserve"> and ancillary equipment, rated for the appropriate pressure and compatible with the relevant gas, shall be connected to or downstream of these cylinders.</w:t>
      </w:r>
    </w:p>
    <w:p w14:paraId="31C5CCB8" w14:textId="77777777" w:rsidR="001D23CE" w:rsidRPr="002D1240" w:rsidRDefault="001D23CE" w:rsidP="001D23CE">
      <w:pPr>
        <w:pStyle w:val="TableStyle2"/>
        <w:rPr>
          <w:rFonts w:ascii="Calibri" w:hAnsi="Calibri"/>
        </w:rPr>
      </w:pPr>
    </w:p>
    <w:p w14:paraId="0C4B7189" w14:textId="439D59FC" w:rsidR="001D23CE" w:rsidRPr="002D1240" w:rsidRDefault="00B00D93" w:rsidP="001D23CE">
      <w:pPr>
        <w:pStyle w:val="Heading3"/>
      </w:pPr>
      <w:bookmarkStart w:id="4" w:name="_Toc40259673"/>
      <w:r>
        <w:br w:type="column"/>
      </w:r>
      <w:r w:rsidR="001D23CE" w:rsidRPr="002D1240">
        <w:t>In case of leaks</w:t>
      </w:r>
      <w:bookmarkEnd w:id="4"/>
    </w:p>
    <w:p w14:paraId="0B9F4111" w14:textId="77777777" w:rsidR="001D23CE" w:rsidRPr="002D1240" w:rsidRDefault="001D23CE" w:rsidP="001D23CE">
      <w:pPr>
        <w:pStyle w:val="TableStyle2"/>
        <w:numPr>
          <w:ilvl w:val="0"/>
          <w:numId w:val="8"/>
        </w:numPr>
        <w:rPr>
          <w:rFonts w:ascii="Calibri" w:hAnsi="Calibri"/>
          <w:lang w:val="en-US"/>
        </w:rPr>
      </w:pPr>
      <w:r w:rsidRPr="002D1240">
        <w:rPr>
          <w:rFonts w:ascii="Calibri" w:hAnsi="Calibri"/>
          <w:lang w:val="en-US"/>
        </w:rPr>
        <w:t>If cylinder or pack is suspected of leaking, evacuate personnel from the direction in which the gas is likely to flow. Stop leak if possible.</w:t>
      </w:r>
    </w:p>
    <w:p w14:paraId="778FD05C" w14:textId="77777777" w:rsidR="001D23CE" w:rsidRPr="002D1240" w:rsidRDefault="001D23CE" w:rsidP="001D23CE">
      <w:pPr>
        <w:pStyle w:val="TableStyle2"/>
        <w:numPr>
          <w:ilvl w:val="0"/>
          <w:numId w:val="8"/>
        </w:numPr>
        <w:rPr>
          <w:rFonts w:ascii="Calibri" w:hAnsi="Calibri"/>
          <w:lang w:val="en-US"/>
        </w:rPr>
      </w:pPr>
      <w:r w:rsidRPr="002D1240">
        <w:rPr>
          <w:rFonts w:ascii="Calibri" w:hAnsi="Calibri"/>
          <w:lang w:val="en-US"/>
        </w:rPr>
        <w:t>Major leaks should only be approached with breathing apparatus.</w:t>
      </w:r>
    </w:p>
    <w:p w14:paraId="6339598C" w14:textId="77777777" w:rsidR="001D23CE" w:rsidRPr="002D1240" w:rsidRDefault="001D23CE" w:rsidP="001D23CE">
      <w:pPr>
        <w:pStyle w:val="TableStyle2"/>
        <w:numPr>
          <w:ilvl w:val="0"/>
          <w:numId w:val="8"/>
        </w:numPr>
        <w:rPr>
          <w:rFonts w:ascii="Calibri" w:hAnsi="Calibri"/>
          <w:lang w:val="en-US"/>
        </w:rPr>
      </w:pPr>
      <w:r w:rsidRPr="002D1240">
        <w:rPr>
          <w:rFonts w:ascii="Calibri" w:hAnsi="Calibri"/>
          <w:lang w:val="en-US"/>
        </w:rPr>
        <w:t xml:space="preserve">If possible and if safe to do so, remove leaking cylinder or pack to a safe area outdoors and allow contents to empty into atmosphere. </w:t>
      </w:r>
    </w:p>
    <w:p w14:paraId="22C47BEF" w14:textId="77777777" w:rsidR="00B00D93" w:rsidRPr="004A4505" w:rsidRDefault="00B00D93" w:rsidP="00B00D93">
      <w:pPr>
        <w:pStyle w:val="TableStyle2"/>
        <w:numPr>
          <w:ilvl w:val="0"/>
          <w:numId w:val="8"/>
        </w:numPr>
        <w:rPr>
          <w:rFonts w:ascii="Calibri" w:hAnsi="Calibri"/>
        </w:rPr>
      </w:pPr>
      <w:r>
        <w:rPr>
          <w:rFonts w:ascii="Calibri" w:hAnsi="Calibri"/>
          <w:lang w:val="en-US"/>
        </w:rPr>
        <w:t>Return empty cylinders and pack to supplier with a note to confirm the leak occurred</w:t>
      </w:r>
    </w:p>
    <w:p w14:paraId="66D34F05" w14:textId="77777777" w:rsidR="00B00D93" w:rsidRPr="002D1240" w:rsidRDefault="00B00D93" w:rsidP="00B00D93">
      <w:pPr>
        <w:pStyle w:val="TableStyle2"/>
        <w:numPr>
          <w:ilvl w:val="0"/>
          <w:numId w:val="8"/>
        </w:numPr>
        <w:rPr>
          <w:rFonts w:ascii="Calibri" w:hAnsi="Calibri"/>
        </w:rPr>
      </w:pPr>
      <w:r>
        <w:rPr>
          <w:rFonts w:ascii="Calibri" w:hAnsi="Calibri"/>
          <w:lang w:val="en-US"/>
        </w:rPr>
        <w:t>Notify emergency services if required</w:t>
      </w:r>
    </w:p>
    <w:p w14:paraId="3C275C39" w14:textId="77777777" w:rsidR="00B87C48" w:rsidRDefault="00B87C48" w:rsidP="002768AC">
      <w:pPr>
        <w:pStyle w:val="ListBullet"/>
        <w:numPr>
          <w:ilvl w:val="0"/>
          <w:numId w:val="0"/>
        </w:numPr>
      </w:pPr>
    </w:p>
    <w:sectPr w:rsidR="00B87C48" w:rsidSect="009D054A">
      <w:type w:val="continuous"/>
      <w:pgSz w:w="11900" w:h="16840"/>
      <w:pgMar w:top="1149" w:right="1247" w:bottom="1440" w:left="1440" w:header="709" w:footer="709" w:gutter="0"/>
      <w:cols w:num="3"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C6158" w14:textId="77777777" w:rsidR="00F61345" w:rsidRDefault="00F61345" w:rsidP="00C25877">
      <w:r>
        <w:separator/>
      </w:r>
    </w:p>
  </w:endnote>
  <w:endnote w:type="continuationSeparator" w:id="0">
    <w:p w14:paraId="0241D91B" w14:textId="77777777" w:rsidR="00F61345" w:rsidRDefault="00F61345" w:rsidP="00C25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Helvetica Neue LT Pro 55 Roman">
    <w:altName w:val="Arial"/>
    <w:panose1 w:val="00000000000000000000"/>
    <w:charset w:val="4D"/>
    <w:family w:val="swiss"/>
    <w:notTrueType/>
    <w:pitch w:val="variable"/>
    <w:sig w:usb0="800000AF" w:usb1="5000205B" w:usb2="00000000" w:usb3="00000000" w:csb0="0000009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7CACE" w14:textId="270FFDD7" w:rsidR="00C25877" w:rsidRDefault="00762397" w:rsidP="00C25877">
    <w:pPr>
      <w:pStyle w:val="Footer"/>
      <w:tabs>
        <w:tab w:val="clear" w:pos="9360"/>
        <w:tab w:val="right" w:pos="9639"/>
      </w:tabs>
      <w:ind w:right="-619"/>
    </w:pPr>
    <w:r w:rsidRPr="002768AC">
      <w:rPr>
        <w:sz w:val="16"/>
        <w:szCs w:val="16"/>
      </w:rPr>
      <w:t>REVISED</w:t>
    </w:r>
    <w:r>
      <w:rPr>
        <w:sz w:val="16"/>
        <w:szCs w:val="16"/>
      </w:rPr>
      <w:t xml:space="preserve"> </w:t>
    </w:r>
    <w:r w:rsidRPr="002768AC">
      <w:rPr>
        <w:sz w:val="16"/>
        <w:szCs w:val="16"/>
      </w:rPr>
      <w:t>8 MAY 2020</w:t>
    </w:r>
    <w:r w:rsidR="00F61345">
      <w:rPr>
        <w:noProof/>
      </w:rPr>
      <w:pict w14:anchorId="67D398CC">
        <v:line id="Straight Connector 10" o:spid="_x0000_s2059" style="position:absolute;z-index:4;visibility:visible;mso-wrap-distance-top:-3e-5mm;mso-wrap-distance-bottom:-3e-5mm;mso-position-horizontal-relative:text;mso-position-vertical-relative:text" from="-7.4pt,-.05pt" to="47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" strokecolor="windowText" strokeweight=".5pt">
          <v:stroke joinstyle="miter"/>
        </v:line>
      </w:pict>
    </w:r>
    <w:r w:rsidR="00F61345">
      <w:rPr>
        <w:noProof/>
      </w:rPr>
      <w:pict w14:anchorId="3B99AAFE">
        <v:shapetype id="_x0000_t202" coordsize="21600,21600" o:spt="202" path="m,l,21600r21600,l21600,xe">
          <v:stroke joinstyle="miter"/>
          <v:path gradientshapeok="t" o:connecttype="rect"/>
        </v:shapetype>
        <v:shape id="Text Box 9" o:spid="_x0000_s2058" type="#_x0000_t202" style="position:absolute;margin-left:125.35pt;margin-top:0;width:355.35pt;height:32pt;z-index:3;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" filled="f" stroked="f" strokeweight=".5pt">
          <v:textbox>
            <w:txbxContent>
              <w:p w14:paraId="1769E116" w14:textId="77777777" w:rsidR="00286642" w:rsidRPr="004B1803" w:rsidRDefault="00286642" w:rsidP="00286642">
                <w:pPr>
                  <w:jc w:val="right"/>
                  <w:rPr>
                    <w:color w:val="000000"/>
                  </w:rPr>
                </w:pPr>
                <w:r w:rsidRPr="004B1803">
                  <w:rPr>
                    <w:rFonts w:ascii="Helvetica Neue LT Pro 55 Roman" w:hAnsi="Helvetica Neue LT Pro 55 Roman"/>
                    <w:color w:val="000000"/>
                    <w:sz w:val="15"/>
                    <w:szCs w:val="15"/>
                  </w:rPr>
                  <w:t>PRODUCT MANUAL</w:t>
                </w: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76687" w14:textId="77777777" w:rsidR="007F690B" w:rsidRDefault="00F61345">
    <w:pPr>
      <w:pStyle w:val="Footer"/>
    </w:pPr>
    <w:r>
      <w:rPr>
        <w:noProof/>
      </w:rPr>
      <w:pict w14:anchorId="1EA88F64">
        <v:line id="Straight Connector 2" o:spid="_x0000_s2056" style="position:absolute;z-index:2;visibility:visible;mso-wrap-distance-top:-3e-5mm;mso-wrap-distance-bottom:-3e-5mm" from=".65pt,3.45pt" to="485.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" strokecolor="windowText" strokeweight=".5pt">
          <v:stroke joinstyle="miter"/>
        </v:line>
      </w:pict>
    </w:r>
    <w:r>
      <w:rPr>
        <w:noProof/>
      </w:rPr>
      <w:pict w14:anchorId="4391BA68">
        <v:shapetype id="_x0000_t202" coordsize="21600,21600" o:spt="202" path="m,l,21600r21600,l21600,xe">
          <v:stroke joinstyle="miter"/>
          <v:path gradientshapeok="t" o:connecttype="rect"/>
        </v:shapetype>
        <v:shape id="Text Box 6" o:spid="_x0000_s2055" type="#_x0000_t202" style="position:absolute;margin-left:133.35pt;margin-top:3.45pt;width:355.35pt;height:32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" filled="f" stroked="f" strokeweight=".5pt">
          <v:textbox>
            <w:txbxContent>
              <w:p w14:paraId="3BB3BD04" w14:textId="77777777" w:rsidR="007F690B" w:rsidRPr="004B1803" w:rsidRDefault="00317A40" w:rsidP="007F690B">
                <w:pPr>
                  <w:jc w:val="right"/>
                  <w:rPr>
                    <w:color w:val="000000"/>
                  </w:rPr>
                </w:pPr>
                <w:r w:rsidRPr="004B1803">
                  <w:rPr>
                    <w:rFonts w:ascii="Helvetica Neue LT Pro 55 Roman" w:hAnsi="Helvetica Neue LT Pro 55 Roman"/>
                    <w:color w:val="000000"/>
                    <w:sz w:val="15"/>
                    <w:szCs w:val="15"/>
                  </w:rPr>
                  <w:t>PRODUCT MANUAL</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C9059" w14:textId="77777777" w:rsidR="00F61345" w:rsidRDefault="00F61345" w:rsidP="00C25877">
      <w:r>
        <w:separator/>
      </w:r>
    </w:p>
  </w:footnote>
  <w:footnote w:type="continuationSeparator" w:id="0">
    <w:p w14:paraId="090BFC57" w14:textId="77777777" w:rsidR="00F61345" w:rsidRDefault="00F61345" w:rsidP="00C25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F0B0C" w14:textId="77777777" w:rsidR="00286642" w:rsidRDefault="00F61345">
    <w:pPr>
      <w:pStyle w:val="Header"/>
    </w:pPr>
    <w:r>
      <w:rPr>
        <w:noProof/>
      </w:rPr>
      <w:pict w14:anchorId="33A54EFA">
        <v:shapetype id="_x0000_t202" coordsize="21600,21600" o:spt="202" path="m,l,21600r21600,l21600,xe">
          <v:stroke joinstyle="miter"/>
          <v:path gradientshapeok="t" o:connecttype="rect"/>
        </v:shapetype>
        <v:shape id="Text Box 11" o:spid="_x0000_s2060" type="#_x0000_t202" style="position:absolute;margin-left:0;margin-top:6.4pt;width:479.95pt;height:14.65pt;z-index: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" fillcolor="window" strokeweight=".5pt">
          <v:textbox inset="0,0,0,0">
            <w:txbxContent>
              <w:p w14:paraId="6A97493E" w14:textId="344A6DFD" w:rsidR="00286642" w:rsidRPr="00286642" w:rsidRDefault="00952B0F" w:rsidP="002768AC">
                <w:pPr>
                  <w:pStyle w:val="ListBullet"/>
                  <w:numPr>
                    <w:ilvl w:val="0"/>
                    <w:numId w:val="0"/>
                  </w:numPr>
                  <w:jc w:val="right"/>
                </w:pPr>
                <w:r>
                  <w:rPr>
                    <w:b/>
                    <w:bCs/>
                  </w:rPr>
                  <w:t>Helium</w:t>
                </w:r>
                <w:r w:rsidR="00286642" w:rsidRPr="002768AC">
                  <w:rPr>
                    <w:b/>
                    <w:bCs/>
                  </w:rPr>
                  <w:t xml:space="preserve"> – INFORMATION SHEET</w:t>
                </w:r>
                <w:r w:rsidR="00286642" w:rsidRPr="00286642">
                  <w:t xml:space="preserve">    UN No. 10</w:t>
                </w:r>
                <w:r>
                  <w:t>4</w:t>
                </w:r>
                <w:r w:rsidR="00286642" w:rsidRPr="00286642">
                  <w:t>6</w:t>
                </w:r>
                <w:r w:rsidR="00286642">
                  <w:t xml:space="preserve">    </w:t>
                </w:r>
                <w:r w:rsidR="00286642" w:rsidRPr="00286642">
                  <w:t>Hazard No. 2(T)</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29C4A" w14:textId="77777777" w:rsidR="007F690B" w:rsidRPr="007F690B" w:rsidRDefault="00F61345" w:rsidP="007F690B">
    <w:pPr>
      <w:pStyle w:val="Header"/>
    </w:pPr>
    <w:r>
      <w:rPr>
        <w:noProof/>
      </w:rPr>
      <w:pict w14:anchorId="1141A6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2057" type="#_x0000_t75" style="position:absolute;margin-left:0;margin-top:0;width:598.25pt;height:131.7pt;z-index:-1;visibility:visible;mso-wrap-edited:f;mso-position-horizontal:left;mso-position-horizontal-relative:page;mso-position-vertical:top;mso-position-vertical-relative:page;mso-width-relative:margin;mso-height-relative:margin">
          <v:imagedata r:id="rId1" o:title=""/>
          <o:lock v:ext="edit" aspectratio="f"/>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252F1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7B7F34"/>
    <w:multiLevelType w:val="hybridMultilevel"/>
    <w:tmpl w:val="8FAE9466"/>
    <w:styleLink w:val="Bullet"/>
    <w:lvl w:ilvl="0" w:tplc="A8C8951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99061E5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61EC16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A1E619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64A0B4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C02D1D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D88D16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D1269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4F208B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0E767075"/>
    <w:multiLevelType w:val="multilevel"/>
    <w:tmpl w:val="625E2A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9A2899"/>
    <w:multiLevelType w:val="hybridMultilevel"/>
    <w:tmpl w:val="3A008A96"/>
    <w:lvl w:ilvl="0" w:tplc="1CB00CE8">
      <w:start w:val="1"/>
      <w:numFmt w:val="bullet"/>
      <w:pStyle w:val="List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553846"/>
    <w:multiLevelType w:val="hybridMultilevel"/>
    <w:tmpl w:val="8EC46942"/>
    <w:lvl w:ilvl="0" w:tplc="F092910A">
      <w:start w:val="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7D58A0"/>
    <w:multiLevelType w:val="hybridMultilevel"/>
    <w:tmpl w:val="625E2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AD7484"/>
    <w:multiLevelType w:val="hybridMultilevel"/>
    <w:tmpl w:val="8FAE9466"/>
    <w:numStyleLink w:val="Bullet"/>
  </w:abstractNum>
  <w:abstractNum w:abstractNumId="7" w15:restartNumberingAfterBreak="0">
    <w:nsid w:val="613D358C"/>
    <w:multiLevelType w:val="hybridMultilevel"/>
    <w:tmpl w:val="8FAE9466"/>
    <w:numStyleLink w:val="Bullet"/>
  </w:abstractNum>
  <w:num w:numId="1">
    <w:abstractNumId w:val="0"/>
  </w:num>
  <w:num w:numId="2">
    <w:abstractNumId w:val="5"/>
  </w:num>
  <w:num w:numId="3">
    <w:abstractNumId w:val="2"/>
  </w:num>
  <w:num w:numId="4">
    <w:abstractNumId w:val="3"/>
  </w:num>
  <w:num w:numId="5">
    <w:abstractNumId w:val="3"/>
  </w:num>
  <w:num w:numId="6">
    <w:abstractNumId w:val="1"/>
  </w:num>
  <w:num w:numId="7">
    <w:abstractNumId w:val="6"/>
    <w:lvlOverride w:ilvl="0">
      <w:lvl w:ilvl="0" w:tplc="1E424F4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D464A86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2B82913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ED0809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6C2A106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949E166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67C925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9B03D8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F28228C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6"/>
    <w:lvlOverride w:ilvl="0">
      <w:lvl w:ilvl="0" w:tplc="1E424F40">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D464A868">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2B82913A">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ED08096">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6C2A1066">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949E166E">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67C9254">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9B03D88">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F28228C4">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4"/>
  </w:num>
  <w:num w:numId="10">
    <w:abstractNumId w:val="7"/>
    <w:lvlOverride w:ilvl="0">
      <w:lvl w:ilvl="0" w:tplc="9BE292AA">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EE5E1954">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072A4204">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DE70220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D9CADAD0">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001474C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3034BCA4">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6F2C83D0">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57D4FB50">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oNotTrackMoves/>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122C"/>
    <w:rsid w:val="00023C67"/>
    <w:rsid w:val="00025162"/>
    <w:rsid w:val="000A311A"/>
    <w:rsid w:val="000E7E8D"/>
    <w:rsid w:val="00124799"/>
    <w:rsid w:val="00130909"/>
    <w:rsid w:val="00142E83"/>
    <w:rsid w:val="001856D0"/>
    <w:rsid w:val="001D23CE"/>
    <w:rsid w:val="001D36FF"/>
    <w:rsid w:val="001F5EF4"/>
    <w:rsid w:val="002768AC"/>
    <w:rsid w:val="002813F0"/>
    <w:rsid w:val="00286642"/>
    <w:rsid w:val="00296214"/>
    <w:rsid w:val="00312CBC"/>
    <w:rsid w:val="00317A40"/>
    <w:rsid w:val="00336D30"/>
    <w:rsid w:val="003944B1"/>
    <w:rsid w:val="003B2FF6"/>
    <w:rsid w:val="003D4BA3"/>
    <w:rsid w:val="003F42CB"/>
    <w:rsid w:val="0044139D"/>
    <w:rsid w:val="00497D6F"/>
    <w:rsid w:val="004B1803"/>
    <w:rsid w:val="004F2C97"/>
    <w:rsid w:val="00517B6B"/>
    <w:rsid w:val="00566A56"/>
    <w:rsid w:val="005A6BDD"/>
    <w:rsid w:val="005C1513"/>
    <w:rsid w:val="00613BA3"/>
    <w:rsid w:val="0066162E"/>
    <w:rsid w:val="0069122C"/>
    <w:rsid w:val="00692CB7"/>
    <w:rsid w:val="006F0D3C"/>
    <w:rsid w:val="00762397"/>
    <w:rsid w:val="007657EE"/>
    <w:rsid w:val="007F690B"/>
    <w:rsid w:val="0085085F"/>
    <w:rsid w:val="008913E3"/>
    <w:rsid w:val="0095092F"/>
    <w:rsid w:val="00952B0F"/>
    <w:rsid w:val="00995F58"/>
    <w:rsid w:val="009A1C4C"/>
    <w:rsid w:val="009D054A"/>
    <w:rsid w:val="009D0A7F"/>
    <w:rsid w:val="009D5024"/>
    <w:rsid w:val="00A936D9"/>
    <w:rsid w:val="00AF14DD"/>
    <w:rsid w:val="00B00D93"/>
    <w:rsid w:val="00B3202B"/>
    <w:rsid w:val="00B501E0"/>
    <w:rsid w:val="00B87C48"/>
    <w:rsid w:val="00BF5292"/>
    <w:rsid w:val="00C25877"/>
    <w:rsid w:val="00C6187B"/>
    <w:rsid w:val="00D105A4"/>
    <w:rsid w:val="00D123CB"/>
    <w:rsid w:val="00D41683"/>
    <w:rsid w:val="00D47100"/>
    <w:rsid w:val="00D47BF0"/>
    <w:rsid w:val="00D73FF1"/>
    <w:rsid w:val="00D85914"/>
    <w:rsid w:val="00DB1064"/>
    <w:rsid w:val="00DD4AF1"/>
    <w:rsid w:val="00E26550"/>
    <w:rsid w:val="00E94337"/>
    <w:rsid w:val="00EF037D"/>
    <w:rsid w:val="00F07E67"/>
    <w:rsid w:val="00F444E4"/>
    <w:rsid w:val="00F61345"/>
    <w:rsid w:val="00F807C5"/>
    <w:rsid w:val="00F95A21"/>
    <w:rsid w:val="00FD3E50"/>
    <w:rsid w:val="00FF3D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47EBDBAF"/>
  <w15:chartTrackingRefBased/>
  <w15:docId w15:val="{E65E58AA-1760-4D15-9913-D82AD596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ListBullet"/>
    <w:next w:val="Normal"/>
    <w:link w:val="Heading1Char"/>
    <w:uiPriority w:val="9"/>
    <w:qFormat/>
    <w:rsid w:val="002768AC"/>
    <w:pPr>
      <w:numPr>
        <w:numId w:val="0"/>
      </w:numPr>
      <w:spacing w:line="276" w:lineRule="auto"/>
      <w:outlineLvl w:val="0"/>
    </w:pPr>
    <w:rPr>
      <w:b/>
      <w:bCs/>
      <w:sz w:val="76"/>
      <w:szCs w:val="76"/>
    </w:rPr>
  </w:style>
  <w:style w:type="paragraph" w:styleId="Heading2">
    <w:name w:val="heading 2"/>
    <w:basedOn w:val="ListBullet"/>
    <w:next w:val="Normal"/>
    <w:link w:val="Heading2Char"/>
    <w:uiPriority w:val="9"/>
    <w:unhideWhenUsed/>
    <w:qFormat/>
    <w:rsid w:val="002768AC"/>
    <w:pPr>
      <w:numPr>
        <w:numId w:val="0"/>
      </w:numPr>
      <w:spacing w:line="276" w:lineRule="auto"/>
      <w:outlineLvl w:val="1"/>
    </w:pPr>
    <w:rPr>
      <w:sz w:val="36"/>
      <w:szCs w:val="36"/>
    </w:rPr>
  </w:style>
  <w:style w:type="paragraph" w:styleId="Heading3">
    <w:name w:val="heading 3"/>
    <w:basedOn w:val="ListBullet"/>
    <w:next w:val="Normal"/>
    <w:link w:val="Heading3Char"/>
    <w:uiPriority w:val="9"/>
    <w:unhideWhenUsed/>
    <w:qFormat/>
    <w:rsid w:val="002768AC"/>
    <w:pPr>
      <w:numPr>
        <w:numId w:val="0"/>
      </w:numPr>
      <w:spacing w:after="120" w:line="276" w:lineRule="auto"/>
      <w:outlineLvl w:val="2"/>
    </w:pPr>
    <w:rPr>
      <w:sz w:val="28"/>
      <w:szCs w:val="28"/>
    </w:rPr>
  </w:style>
  <w:style w:type="paragraph" w:styleId="Heading4">
    <w:name w:val="heading 4"/>
    <w:basedOn w:val="ListBullet"/>
    <w:next w:val="Normal"/>
    <w:link w:val="Heading4Char"/>
    <w:uiPriority w:val="9"/>
    <w:unhideWhenUsed/>
    <w:qFormat/>
    <w:rsid w:val="002768AC"/>
    <w:pPr>
      <w:numPr>
        <w:numId w:val="0"/>
      </w:numP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877"/>
    <w:pPr>
      <w:tabs>
        <w:tab w:val="center" w:pos="4680"/>
        <w:tab w:val="right" w:pos="9360"/>
      </w:tabs>
    </w:pPr>
  </w:style>
  <w:style w:type="character" w:customStyle="1" w:styleId="HeaderChar">
    <w:name w:val="Header Char"/>
    <w:basedOn w:val="DefaultParagraphFont"/>
    <w:link w:val="Header"/>
    <w:uiPriority w:val="99"/>
    <w:rsid w:val="00C25877"/>
  </w:style>
  <w:style w:type="paragraph" w:styleId="Footer">
    <w:name w:val="footer"/>
    <w:basedOn w:val="Normal"/>
    <w:link w:val="FooterChar"/>
    <w:uiPriority w:val="99"/>
    <w:unhideWhenUsed/>
    <w:rsid w:val="00C25877"/>
    <w:pPr>
      <w:tabs>
        <w:tab w:val="center" w:pos="4680"/>
        <w:tab w:val="right" w:pos="9360"/>
      </w:tabs>
    </w:pPr>
  </w:style>
  <w:style w:type="character" w:customStyle="1" w:styleId="FooterChar">
    <w:name w:val="Footer Char"/>
    <w:basedOn w:val="DefaultParagraphFont"/>
    <w:link w:val="Footer"/>
    <w:uiPriority w:val="99"/>
    <w:rsid w:val="00C25877"/>
  </w:style>
  <w:style w:type="paragraph" w:styleId="BalloonText">
    <w:name w:val="Balloon Text"/>
    <w:basedOn w:val="Normal"/>
    <w:link w:val="BalloonTextChar"/>
    <w:uiPriority w:val="99"/>
    <w:semiHidden/>
    <w:unhideWhenUsed/>
    <w:rsid w:val="009D0A7F"/>
    <w:rPr>
      <w:rFonts w:ascii="Times New Roman" w:hAnsi="Times New Roman"/>
      <w:sz w:val="18"/>
      <w:szCs w:val="18"/>
    </w:rPr>
  </w:style>
  <w:style w:type="character" w:customStyle="1" w:styleId="BalloonTextChar">
    <w:name w:val="Balloon Text Char"/>
    <w:link w:val="BalloonText"/>
    <w:uiPriority w:val="99"/>
    <w:semiHidden/>
    <w:rsid w:val="009D0A7F"/>
    <w:rPr>
      <w:rFonts w:ascii="Times New Roman" w:hAnsi="Times New Roman" w:cs="Times New Roman"/>
      <w:sz w:val="18"/>
      <w:szCs w:val="18"/>
    </w:rPr>
  </w:style>
  <w:style w:type="paragraph" w:styleId="ListBullet">
    <w:name w:val="List Bullet"/>
    <w:basedOn w:val="BasicParagraph"/>
    <w:uiPriority w:val="99"/>
    <w:unhideWhenUsed/>
    <w:rsid w:val="002768AC"/>
    <w:pPr>
      <w:numPr>
        <w:numId w:val="4"/>
      </w:numPr>
    </w:pPr>
    <w:rPr>
      <w:rFonts w:ascii="Calibri" w:hAnsi="Calibri" w:cs="Calibri"/>
      <w:sz w:val="20"/>
      <w:szCs w:val="20"/>
    </w:rPr>
  </w:style>
  <w:style w:type="table" w:styleId="TableGrid">
    <w:name w:val="Table Grid"/>
    <w:basedOn w:val="TableNormal"/>
    <w:uiPriority w:val="39"/>
    <w:rsid w:val="003B2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9D054A"/>
    <w:pPr>
      <w:autoSpaceDE w:val="0"/>
      <w:autoSpaceDN w:val="0"/>
      <w:adjustRightInd w:val="0"/>
      <w:spacing w:line="288" w:lineRule="auto"/>
      <w:textAlignment w:val="center"/>
    </w:pPr>
    <w:rPr>
      <w:rFonts w:ascii="Times" w:hAnsi="Times" w:cs="Times"/>
      <w:color w:val="000000"/>
      <w:lang w:val="en-GB" w:eastAsia="en-GB"/>
    </w:rPr>
  </w:style>
  <w:style w:type="character" w:customStyle="1" w:styleId="Heading1Char">
    <w:name w:val="Heading 1 Char"/>
    <w:link w:val="Heading1"/>
    <w:uiPriority w:val="9"/>
    <w:rsid w:val="002768AC"/>
    <w:rPr>
      <w:b/>
      <w:bCs/>
      <w:sz w:val="76"/>
      <w:szCs w:val="76"/>
      <w:lang w:eastAsia="en-US"/>
    </w:rPr>
  </w:style>
  <w:style w:type="character" w:customStyle="1" w:styleId="Heading2Char">
    <w:name w:val="Heading 2 Char"/>
    <w:link w:val="Heading2"/>
    <w:uiPriority w:val="9"/>
    <w:rsid w:val="002768AC"/>
    <w:rPr>
      <w:sz w:val="36"/>
      <w:szCs w:val="36"/>
      <w:lang w:eastAsia="en-US"/>
    </w:rPr>
  </w:style>
  <w:style w:type="character" w:customStyle="1" w:styleId="Heading3Char">
    <w:name w:val="Heading 3 Char"/>
    <w:link w:val="Heading3"/>
    <w:uiPriority w:val="9"/>
    <w:rsid w:val="002768AC"/>
    <w:rPr>
      <w:sz w:val="28"/>
      <w:szCs w:val="28"/>
      <w:lang w:eastAsia="en-US"/>
    </w:rPr>
  </w:style>
  <w:style w:type="character" w:customStyle="1" w:styleId="Heading4Char">
    <w:name w:val="Heading 4 Char"/>
    <w:link w:val="Heading4"/>
    <w:uiPriority w:val="9"/>
    <w:rsid w:val="002768AC"/>
    <w:rPr>
      <w:rFonts w:cs="Calibri"/>
      <w:b/>
      <w:bCs/>
      <w:color w:val="000000"/>
      <w:sz w:val="28"/>
      <w:szCs w:val="28"/>
      <w:lang w:val="en-GB"/>
    </w:rPr>
  </w:style>
  <w:style w:type="numbering" w:customStyle="1" w:styleId="Bullet">
    <w:name w:val="Bullet"/>
    <w:rsid w:val="001D23CE"/>
    <w:pPr>
      <w:numPr>
        <w:numId w:val="6"/>
      </w:numPr>
    </w:pPr>
  </w:style>
  <w:style w:type="paragraph" w:customStyle="1" w:styleId="TableStyle2">
    <w:name w:val="Table Style 2"/>
    <w:rsid w:val="001D23CE"/>
    <w:pPr>
      <w:pBdr>
        <w:top w:val="nil"/>
        <w:left w:val="nil"/>
        <w:bottom w:val="nil"/>
        <w:right w:val="nil"/>
        <w:between w:val="nil"/>
        <w:bar w:val="nil"/>
      </w:pBdr>
    </w:pPr>
    <w:rPr>
      <w:rFonts w:ascii="Helvetica Neue" w:eastAsia="Helvetica Neue" w:hAnsi="Helvetica Neue" w:cs="Helvetica Neue"/>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AppData\Local\Temp\Temp2_1347%20-%20SPG%20Manual%20Templates.zip\1347%20-%20SPG%20Manual%20Templates\1347%20-%20SPG%20Product%20Manual%20Template%20%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1347 - SPG Product Manual Template [1]</Template>
  <TotalTime>27</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Hill</dc:creator>
  <cp:keywords/>
  <dc:description/>
  <cp:lastModifiedBy>Barry Hill</cp:lastModifiedBy>
  <cp:revision>45</cp:revision>
  <cp:lastPrinted>2020-05-08T01:29:00Z</cp:lastPrinted>
  <dcterms:created xsi:type="dcterms:W3CDTF">2020-05-13T01:19:00Z</dcterms:created>
  <dcterms:modified xsi:type="dcterms:W3CDTF">2020-05-24T03:49:00Z</dcterms:modified>
</cp:coreProperties>
</file>