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248CC" w14:textId="390B7411" w:rsidR="006976DA" w:rsidRDefault="00EA5B25" w:rsidP="008A2CD9">
      <w:pPr>
        <w:spacing w:line="480" w:lineRule="auto"/>
        <w:jc w:val="center"/>
        <w:rPr>
          <w:rFonts w:ascii="Times New Roman" w:eastAsia="Times New Roman" w:hAnsi="Times New Roman" w:cs="Times New Roman"/>
          <w:b/>
          <w:bCs/>
          <w:sz w:val="24"/>
          <w:szCs w:val="24"/>
        </w:rPr>
      </w:pPr>
      <w:r w:rsidRPr="00EA5B25">
        <w:rPr>
          <w:rFonts w:ascii="Times New Roman" w:eastAsia="Times New Roman" w:hAnsi="Times New Roman" w:cs="Times New Roman"/>
          <w:b/>
          <w:bCs/>
          <w:sz w:val="24"/>
          <w:szCs w:val="24"/>
        </w:rPr>
        <w:t>Milestone Two Narrative</w:t>
      </w:r>
      <w:r w:rsidR="006976DA">
        <w:rPr>
          <w:rFonts w:ascii="Times New Roman" w:eastAsia="Times New Roman" w:hAnsi="Times New Roman" w:cs="Times New Roman"/>
          <w:b/>
          <w:bCs/>
          <w:sz w:val="24"/>
          <w:szCs w:val="24"/>
        </w:rPr>
        <w:t xml:space="preserve"> -</w:t>
      </w:r>
    </w:p>
    <w:p w14:paraId="7AE3F915" w14:textId="07707AE2" w:rsidR="008A2CD9" w:rsidRDefault="00EA5B25" w:rsidP="008A2CD9">
      <w:pPr>
        <w:spacing w:line="480" w:lineRule="auto"/>
        <w:jc w:val="center"/>
        <w:rPr>
          <w:rFonts w:ascii="Times New Roman" w:eastAsia="Times New Roman" w:hAnsi="Times New Roman" w:cs="Times New Roman"/>
          <w:b/>
          <w:bCs/>
          <w:sz w:val="24"/>
          <w:szCs w:val="24"/>
        </w:rPr>
      </w:pPr>
      <w:r w:rsidRPr="00EA5B25">
        <w:rPr>
          <w:rFonts w:ascii="Times New Roman" w:eastAsia="Times New Roman" w:hAnsi="Times New Roman" w:cs="Times New Roman"/>
          <w:b/>
          <w:bCs/>
          <w:sz w:val="24"/>
          <w:szCs w:val="24"/>
        </w:rPr>
        <w:t>Software Design and Engineering Enhancement</w:t>
      </w:r>
      <w:r w:rsidR="006976DA">
        <w:rPr>
          <w:rFonts w:ascii="Times New Roman" w:eastAsia="Times New Roman" w:hAnsi="Times New Roman" w:cs="Times New Roman"/>
          <w:b/>
          <w:bCs/>
          <w:sz w:val="24"/>
          <w:szCs w:val="24"/>
        </w:rPr>
        <w:t>s</w:t>
      </w:r>
    </w:p>
    <w:p w14:paraId="0D1ADCE1" w14:textId="19EE8812" w:rsidR="00EA5B25" w:rsidRDefault="00EA5B25" w:rsidP="00EA5B25">
      <w:pPr>
        <w:spacing w:line="480" w:lineRule="auto"/>
        <w:ind w:firstLine="720"/>
        <w:rPr>
          <w:rFonts w:ascii="Times New Roman" w:eastAsia="Times New Roman" w:hAnsi="Times New Roman" w:cs="Times New Roman"/>
          <w:sz w:val="24"/>
          <w:szCs w:val="24"/>
        </w:rPr>
      </w:pPr>
      <w:r w:rsidRPr="00EA5B25">
        <w:rPr>
          <w:rFonts w:ascii="Times New Roman" w:eastAsia="Times New Roman" w:hAnsi="Times New Roman" w:cs="Times New Roman"/>
          <w:b/>
          <w:bCs/>
          <w:sz w:val="24"/>
          <w:szCs w:val="24"/>
        </w:rPr>
        <w:t xml:space="preserve">Artifact </w:t>
      </w:r>
      <w:r>
        <w:rPr>
          <w:rFonts w:ascii="Times New Roman" w:eastAsia="Times New Roman" w:hAnsi="Times New Roman" w:cs="Times New Roman"/>
          <w:b/>
          <w:bCs/>
          <w:sz w:val="24"/>
          <w:szCs w:val="24"/>
        </w:rPr>
        <w:t>d</w:t>
      </w:r>
      <w:r w:rsidRPr="00EA5B25">
        <w:rPr>
          <w:rFonts w:ascii="Times New Roman" w:eastAsia="Times New Roman" w:hAnsi="Times New Roman" w:cs="Times New Roman"/>
          <w:b/>
          <w:bCs/>
          <w:sz w:val="24"/>
          <w:szCs w:val="24"/>
        </w:rPr>
        <w:t xml:space="preserve">escription. </w:t>
      </w:r>
      <w:r w:rsidRPr="00EA5B25">
        <w:rPr>
          <w:rFonts w:ascii="Times New Roman" w:eastAsia="Times New Roman" w:hAnsi="Times New Roman" w:cs="Times New Roman"/>
          <w:sz w:val="24"/>
          <w:szCs w:val="24"/>
        </w:rPr>
        <w:t>The artifact selected for this enhancement is a weight tracking Android mobile application originally developed during my CS-360 Mobile Architecture and Programming course</w:t>
      </w:r>
      <w:r>
        <w:rPr>
          <w:rFonts w:ascii="Times New Roman" w:eastAsia="Times New Roman" w:hAnsi="Times New Roman" w:cs="Times New Roman"/>
          <w:sz w:val="24"/>
          <w:szCs w:val="24"/>
        </w:rPr>
        <w:t>..</w:t>
      </w:r>
      <w:r w:rsidRPr="00EA5B25">
        <w:rPr>
          <w:rFonts w:ascii="Times New Roman" w:eastAsia="Times New Roman" w:hAnsi="Times New Roman" w:cs="Times New Roman"/>
          <w:sz w:val="24"/>
          <w:szCs w:val="24"/>
        </w:rPr>
        <w:t>. The application allows users to create an account, log in, record daily weight entries, and view historical data associated with their account. The original version of the app focused primarily on core functionality and basic validation, with all logic concentrated within Activity classes and direct database access handled inside the UI layer.</w:t>
      </w:r>
    </w:p>
    <w:p w14:paraId="1CA3FCD4" w14:textId="7763B070" w:rsidR="00EA5B25" w:rsidRPr="00EA5B25" w:rsidRDefault="00EA5B25" w:rsidP="00EA5B25">
      <w:pPr>
        <w:spacing w:line="480" w:lineRule="auto"/>
        <w:ind w:firstLine="720"/>
      </w:pPr>
      <w:r w:rsidRPr="00EA5B25">
        <w:rPr>
          <w:rFonts w:ascii="Times New Roman" w:eastAsia="Times New Roman" w:hAnsi="Times New Roman" w:cs="Times New Roman"/>
          <w:b/>
          <w:bCs/>
          <w:sz w:val="24"/>
          <w:szCs w:val="24"/>
        </w:rPr>
        <w:t>J</w:t>
      </w:r>
      <w:r w:rsidRPr="00EA5B25">
        <w:rPr>
          <w:rFonts w:ascii="Times New Roman" w:eastAsia="Times New Roman" w:hAnsi="Times New Roman" w:cs="Times New Roman"/>
          <w:b/>
          <w:bCs/>
          <w:sz w:val="24"/>
          <w:szCs w:val="24"/>
        </w:rPr>
        <w:t xml:space="preserve">ustification for </w:t>
      </w:r>
      <w:r>
        <w:rPr>
          <w:rFonts w:ascii="Times New Roman" w:eastAsia="Times New Roman" w:hAnsi="Times New Roman" w:cs="Times New Roman"/>
          <w:b/>
          <w:bCs/>
          <w:sz w:val="24"/>
          <w:szCs w:val="24"/>
        </w:rPr>
        <w:t>i</w:t>
      </w:r>
      <w:r w:rsidRPr="00EA5B25">
        <w:rPr>
          <w:rFonts w:ascii="Times New Roman" w:eastAsia="Times New Roman" w:hAnsi="Times New Roman" w:cs="Times New Roman"/>
          <w:b/>
          <w:bCs/>
          <w:sz w:val="24"/>
          <w:szCs w:val="24"/>
        </w:rPr>
        <w:t xml:space="preserve">nclusion in the </w:t>
      </w:r>
      <w:proofErr w:type="spellStart"/>
      <w:r w:rsidRPr="00EA5B25">
        <w:rPr>
          <w:rFonts w:ascii="Times New Roman" w:eastAsia="Times New Roman" w:hAnsi="Times New Roman" w:cs="Times New Roman"/>
          <w:b/>
          <w:bCs/>
          <w:sz w:val="24"/>
          <w:szCs w:val="24"/>
        </w:rPr>
        <w:t>ePortfolio</w:t>
      </w:r>
      <w:proofErr w:type="spellEnd"/>
      <w:r w:rsidRPr="00EA5B25">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sidRPr="00EA5B25">
        <w:t xml:space="preserve">I selected this artifact for my </w:t>
      </w:r>
      <w:proofErr w:type="spellStart"/>
      <w:r w:rsidRPr="00EA5B25">
        <w:t>ePortfolio</w:t>
      </w:r>
      <w:proofErr w:type="spellEnd"/>
      <w:r w:rsidRPr="00EA5B25">
        <w:t xml:space="preserve"> because it represents a realistic, user-focused application that integrates multiple aspects of software design and engineering, including input validation, data persistence, authentication, and navigation flow. Moreover, the application provided a strong foundation for meaningful enhancement because its original structure reflected common early-stage design limitations, such as tightly coupled logic and minimal data validation. By </w:t>
      </w:r>
      <w:proofErr w:type="spellStart"/>
      <w:r w:rsidRPr="00EA5B25">
        <w:t>enhacing</w:t>
      </w:r>
      <w:proofErr w:type="spellEnd"/>
      <w:r w:rsidRPr="00EA5B25">
        <w:t xml:space="preserve"> this artifact, I was able to demonstrate growth in applying software engineering principles to improve maintainability, reliability, and data integrity without changing the core purpose of the application.</w:t>
      </w:r>
    </w:p>
    <w:p w14:paraId="5A270F81" w14:textId="77777777" w:rsidR="00EA5B25" w:rsidRPr="00EA5B25" w:rsidRDefault="00EA5B25" w:rsidP="00EA5B25">
      <w:pPr>
        <w:spacing w:line="480" w:lineRule="auto"/>
        <w:ind w:firstLine="720"/>
        <w:rPr>
          <w:rFonts w:ascii="Times New Roman" w:eastAsia="Times New Roman" w:hAnsi="Times New Roman" w:cs="Times New Roman"/>
          <w:sz w:val="24"/>
          <w:szCs w:val="24"/>
        </w:rPr>
      </w:pPr>
      <w:r w:rsidRPr="00EA5B25">
        <w:rPr>
          <w:rFonts w:ascii="Times New Roman" w:eastAsia="Times New Roman" w:hAnsi="Times New Roman" w:cs="Times New Roman"/>
          <w:sz w:val="24"/>
          <w:szCs w:val="24"/>
        </w:rPr>
        <w:t>The enhancement focused on refactoring validation logic into a centralized utility class, introducing a repository layer to separate database access from UI logic, and strengthening validation rules for user input, particularly around dates and duplicate entries. These changes improved the internal structure of the application while preserving existing functionality, therefore demonstrating thoughtful design evolution rather than surface-level modification.</w:t>
      </w:r>
    </w:p>
    <w:p w14:paraId="7EFA8367" w14:textId="3FBAABF5" w:rsidR="00EA5B25" w:rsidRPr="00EA5B25" w:rsidRDefault="00EA5B25" w:rsidP="00EA5B25">
      <w:pPr>
        <w:spacing w:line="480" w:lineRule="auto"/>
        <w:ind w:firstLine="720"/>
        <w:rPr>
          <w:rFonts w:ascii="Times New Roman" w:eastAsia="Times New Roman" w:hAnsi="Times New Roman" w:cs="Times New Roman"/>
          <w:sz w:val="24"/>
          <w:szCs w:val="24"/>
        </w:rPr>
      </w:pPr>
      <w:r w:rsidRPr="00EA5B25">
        <w:rPr>
          <w:rFonts w:ascii="Times New Roman" w:eastAsia="Times New Roman" w:hAnsi="Times New Roman" w:cs="Times New Roman"/>
          <w:b/>
          <w:bCs/>
          <w:sz w:val="24"/>
          <w:szCs w:val="24"/>
        </w:rPr>
        <w:lastRenderedPageBreak/>
        <w:t xml:space="preserve">Course </w:t>
      </w:r>
      <w:r>
        <w:rPr>
          <w:rFonts w:ascii="Times New Roman" w:eastAsia="Times New Roman" w:hAnsi="Times New Roman" w:cs="Times New Roman"/>
          <w:b/>
          <w:bCs/>
          <w:sz w:val="24"/>
          <w:szCs w:val="24"/>
        </w:rPr>
        <w:t>o</w:t>
      </w:r>
      <w:r w:rsidRPr="00EA5B25">
        <w:rPr>
          <w:rFonts w:ascii="Times New Roman" w:eastAsia="Times New Roman" w:hAnsi="Times New Roman" w:cs="Times New Roman"/>
          <w:b/>
          <w:bCs/>
          <w:sz w:val="24"/>
          <w:szCs w:val="24"/>
        </w:rPr>
        <w:t xml:space="preserve">utcomes </w:t>
      </w:r>
      <w:r>
        <w:rPr>
          <w:rFonts w:ascii="Times New Roman" w:eastAsia="Times New Roman" w:hAnsi="Times New Roman" w:cs="Times New Roman"/>
          <w:b/>
          <w:bCs/>
          <w:sz w:val="24"/>
          <w:szCs w:val="24"/>
        </w:rPr>
        <w:t>a</w:t>
      </w:r>
      <w:r w:rsidRPr="00EA5B25">
        <w:rPr>
          <w:rFonts w:ascii="Times New Roman" w:eastAsia="Times New Roman" w:hAnsi="Times New Roman" w:cs="Times New Roman"/>
          <w:b/>
          <w:bCs/>
          <w:sz w:val="24"/>
          <w:szCs w:val="24"/>
        </w:rPr>
        <w:t>lignment</w:t>
      </w:r>
      <w:r w:rsidRPr="00EA5B25">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sidRPr="00EA5B25">
        <w:rPr>
          <w:rFonts w:ascii="Times New Roman" w:eastAsia="Times New Roman" w:hAnsi="Times New Roman" w:cs="Times New Roman"/>
          <w:sz w:val="24"/>
          <w:szCs w:val="24"/>
        </w:rPr>
        <w:t xml:space="preserve">The enhancements completed for this milestone align with the course outcomes I planned to address in Module One, particularly Outcomes 4 and 5. By introducing helper and repository classes, I demonstrated the use of well-founded software engineering techniques to improve code </w:t>
      </w:r>
      <w:proofErr w:type="spellStart"/>
      <w:proofErr w:type="gramStart"/>
      <w:r w:rsidRPr="00EA5B25">
        <w:rPr>
          <w:rFonts w:ascii="Times New Roman" w:eastAsia="Times New Roman" w:hAnsi="Times New Roman" w:cs="Times New Roman"/>
          <w:sz w:val="24"/>
          <w:szCs w:val="24"/>
        </w:rPr>
        <w:t>organization,reduce</w:t>
      </w:r>
      <w:proofErr w:type="spellEnd"/>
      <w:proofErr w:type="gramEnd"/>
      <w:r w:rsidRPr="00EA5B25">
        <w:rPr>
          <w:rFonts w:ascii="Times New Roman" w:eastAsia="Times New Roman" w:hAnsi="Times New Roman" w:cs="Times New Roman"/>
          <w:sz w:val="24"/>
          <w:szCs w:val="24"/>
        </w:rPr>
        <w:t xml:space="preserve"> coupling, and support future extensibility. Additionally, enhancing input validation and enforcing consistent date formats and duplicate prevention reflect a security</w:t>
      </w:r>
      <w:r>
        <w:rPr>
          <w:rFonts w:ascii="Times New Roman" w:eastAsia="Times New Roman" w:hAnsi="Times New Roman" w:cs="Times New Roman"/>
          <w:sz w:val="24"/>
          <w:szCs w:val="24"/>
        </w:rPr>
        <w:t xml:space="preserve"> </w:t>
      </w:r>
      <w:r w:rsidRPr="00EA5B25">
        <w:rPr>
          <w:rFonts w:ascii="Times New Roman" w:eastAsia="Times New Roman" w:hAnsi="Times New Roman" w:cs="Times New Roman"/>
          <w:sz w:val="24"/>
          <w:szCs w:val="24"/>
        </w:rPr>
        <w:t>aware mindset, as these changes help protect data integrity and reduce the likelihood of erroneous or misleading records</w:t>
      </w:r>
      <w:r>
        <w:rPr>
          <w:rFonts w:ascii="Times New Roman" w:eastAsia="Times New Roman" w:hAnsi="Times New Roman" w:cs="Times New Roman"/>
          <w:sz w:val="24"/>
          <w:szCs w:val="24"/>
        </w:rPr>
        <w:t>..</w:t>
      </w:r>
      <w:r w:rsidRPr="00EA5B2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Finally, a</w:t>
      </w:r>
      <w:r w:rsidRPr="00EA5B25">
        <w:rPr>
          <w:rFonts w:ascii="Times New Roman" w:eastAsia="Times New Roman" w:hAnsi="Times New Roman" w:cs="Times New Roman"/>
          <w:sz w:val="24"/>
          <w:szCs w:val="24"/>
        </w:rPr>
        <w:t>t this stage, no changes to my original outcome coverage plan are necessary, as the enhancements align closely with the intended goals.</w:t>
      </w:r>
    </w:p>
    <w:p w14:paraId="7FC0F336" w14:textId="4ED552B2" w:rsidR="00EA5B25" w:rsidRPr="00EA5B25" w:rsidRDefault="00EA5B25" w:rsidP="00EA5B25">
      <w:pPr>
        <w:spacing w:line="480" w:lineRule="auto"/>
        <w:rPr>
          <w:rFonts w:ascii="Times New Roman" w:hAnsi="Times New Roman" w:cs="Times New Roman"/>
          <w:sz w:val="24"/>
          <w:szCs w:val="24"/>
        </w:rPr>
      </w:pPr>
      <w:r>
        <w:rPr>
          <w:rFonts w:ascii="Times New Roman" w:hAnsi="Times New Roman" w:cs="Times New Roman"/>
          <w:sz w:val="24"/>
          <w:szCs w:val="24"/>
        </w:rPr>
        <w:tab/>
      </w:r>
      <w:r w:rsidRPr="00EA5B25">
        <w:rPr>
          <w:rFonts w:ascii="Times New Roman" w:hAnsi="Times New Roman" w:cs="Times New Roman"/>
          <w:b/>
          <w:bCs/>
          <w:sz w:val="24"/>
          <w:szCs w:val="24"/>
        </w:rPr>
        <w:t>Reflection on the enhancement process.</w:t>
      </w:r>
      <w:r w:rsidRPr="00EA5B25">
        <w:rPr>
          <w:rFonts w:ascii="Times New Roman" w:hAnsi="Times New Roman" w:cs="Times New Roman"/>
          <w:sz w:val="24"/>
          <w:szCs w:val="24"/>
        </w:rPr>
        <w:t xml:space="preserve"> </w:t>
      </w:r>
      <w:r w:rsidRPr="00EA5B25">
        <w:rPr>
          <w:rFonts w:ascii="Times New Roman" w:hAnsi="Times New Roman" w:cs="Times New Roman"/>
          <w:sz w:val="24"/>
          <w:szCs w:val="24"/>
        </w:rPr>
        <w:t>Through the process of enhancing this artifact I gained a deeper appreciation for how small structural changes can significantly improve the quality and maintainability of an application</w:t>
      </w:r>
      <w:r>
        <w:rPr>
          <w:rFonts w:ascii="Times New Roman" w:hAnsi="Times New Roman" w:cs="Times New Roman"/>
          <w:sz w:val="24"/>
          <w:szCs w:val="24"/>
        </w:rPr>
        <w:t>!</w:t>
      </w:r>
      <w:r w:rsidRPr="00EA5B25">
        <w:rPr>
          <w:rFonts w:ascii="Times New Roman" w:hAnsi="Times New Roman" w:cs="Times New Roman"/>
          <w:sz w:val="24"/>
          <w:szCs w:val="24"/>
        </w:rPr>
        <w:t xml:space="preserve"> Initially, the application functioned </w:t>
      </w:r>
      <w:r>
        <w:rPr>
          <w:rFonts w:ascii="Times New Roman" w:hAnsi="Times New Roman" w:cs="Times New Roman"/>
          <w:sz w:val="24"/>
          <w:szCs w:val="24"/>
        </w:rPr>
        <w:t>“well-enough”</w:t>
      </w:r>
      <w:r w:rsidRPr="00EA5B25">
        <w:rPr>
          <w:rFonts w:ascii="Times New Roman" w:hAnsi="Times New Roman" w:cs="Times New Roman"/>
          <w:sz w:val="24"/>
          <w:szCs w:val="24"/>
        </w:rPr>
        <w:t>, however, much of the logic was duplicated across Activities, which made future changes more difficult to manage. Refactoring validation into a dedicated utility class required careful consideration of edge cases and reinforced the importance of defensive programming. Similarly, introducing a repository layer clarified the separation of responsibilities between the UI and data layers, making the code easier to reason about and extend.</w:t>
      </w:r>
    </w:p>
    <w:p w14:paraId="096ECAFB" w14:textId="44735475" w:rsidR="005A277D" w:rsidRPr="006976DA" w:rsidRDefault="00EA5B25" w:rsidP="006976DA">
      <w:pPr>
        <w:spacing w:line="480" w:lineRule="auto"/>
        <w:ind w:firstLine="720"/>
        <w:rPr>
          <w:rFonts w:ascii="Times New Roman" w:hAnsi="Times New Roman" w:cs="Times New Roman"/>
          <w:sz w:val="24"/>
          <w:szCs w:val="24"/>
        </w:rPr>
      </w:pPr>
      <w:r w:rsidRPr="00EA5B25">
        <w:rPr>
          <w:rFonts w:ascii="Times New Roman" w:hAnsi="Times New Roman" w:cs="Times New Roman"/>
          <w:sz w:val="24"/>
          <w:szCs w:val="24"/>
        </w:rPr>
        <w:t>One challenge encountered during this process was ensuring that refactoring did not unintentionally alter application behavior</w:t>
      </w:r>
      <w:r>
        <w:rPr>
          <w:rFonts w:ascii="Times New Roman" w:hAnsi="Times New Roman" w:cs="Times New Roman"/>
          <w:sz w:val="24"/>
          <w:szCs w:val="24"/>
        </w:rPr>
        <w:t>..</w:t>
      </w:r>
      <w:r w:rsidRPr="00EA5B25">
        <w:rPr>
          <w:rFonts w:ascii="Times New Roman" w:hAnsi="Times New Roman" w:cs="Times New Roman"/>
          <w:sz w:val="24"/>
          <w:szCs w:val="24"/>
        </w:rPr>
        <w:t>. Because of this, testing after each change became essential, and validating that user flows still worked as expected helped reinforce disciplined development practices. Overall, this enhancement process strengthened my understanding of practical software design decisions and highlighted how thoughtful refactoring supports long-term project sustainability</w:t>
      </w:r>
      <w:r w:rsidR="006C2352">
        <w:rPr>
          <w:rFonts w:ascii="Times New Roman" w:hAnsi="Times New Roman" w:cs="Times New Roman"/>
          <w:sz w:val="24"/>
          <w:szCs w:val="24"/>
        </w:rPr>
        <w:t>!</w:t>
      </w:r>
    </w:p>
    <w:sectPr w:rsidR="005A277D" w:rsidRPr="006976DA">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60885" w14:textId="77777777" w:rsidR="006F20D0" w:rsidRDefault="006F20D0">
      <w:pPr>
        <w:spacing w:after="0" w:line="240" w:lineRule="auto"/>
      </w:pPr>
      <w:r>
        <w:separator/>
      </w:r>
    </w:p>
  </w:endnote>
  <w:endnote w:type="continuationSeparator" w:id="0">
    <w:p w14:paraId="4A74C780" w14:textId="77777777" w:rsidR="006F20D0" w:rsidRDefault="006F20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651F0" w14:textId="77777777" w:rsidR="006F20D0" w:rsidRDefault="006F20D0">
      <w:pPr>
        <w:spacing w:after="0" w:line="240" w:lineRule="auto"/>
      </w:pPr>
      <w:r>
        <w:separator/>
      </w:r>
    </w:p>
  </w:footnote>
  <w:footnote w:type="continuationSeparator" w:id="0">
    <w:p w14:paraId="7884CDDB" w14:textId="77777777" w:rsidR="006F20D0" w:rsidRDefault="006F20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7777777" w:rsidR="001F5855" w:rsidRPr="0073026F" w:rsidRDefault="0073026F" w:rsidP="0073026F">
    <w:pPr>
      <w:pStyle w:val="Header"/>
      <w:jc w:val="center"/>
    </w:pPr>
    <w:r w:rsidRPr="00365759">
      <w:rPr>
        <w:noProof/>
      </w:rPr>
      <w:drawing>
        <wp:inline distT="0" distB="0" distL="0" distR="0" wp14:anchorId="13D0168C" wp14:editId="30FDC297">
          <wp:extent cx="2743200" cy="409575"/>
          <wp:effectExtent l="0" t="0" r="0" b="9525"/>
          <wp:docPr id="1" name="Picture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_SNHU_withQuill_Horizst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4095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410A"/>
    <w:multiLevelType w:val="hybridMultilevel"/>
    <w:tmpl w:val="49F486B6"/>
    <w:lvl w:ilvl="0" w:tplc="2D346ECE">
      <w:start w:val="1"/>
      <w:numFmt w:val="decimal"/>
      <w:lvlText w:val="%1."/>
      <w:lvlJc w:val="left"/>
      <w:pPr>
        <w:ind w:left="720" w:hanging="360"/>
      </w:pPr>
      <w:rPr>
        <w:rFonts w:asciiTheme="majorHAnsi" w:hAnsiTheme="majorHAnsi" w:cstheme="maj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C730B"/>
    <w:multiLevelType w:val="hybridMultilevel"/>
    <w:tmpl w:val="6D9438CC"/>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F58494F"/>
    <w:multiLevelType w:val="multilevel"/>
    <w:tmpl w:val="F10E4514"/>
    <w:lvl w:ilvl="0">
      <w:start w:val="1"/>
      <w:numFmt w:val="decimal"/>
      <w:lvlText w:val="%1."/>
      <w:lvlJc w:val="left"/>
      <w:pPr>
        <w:tabs>
          <w:tab w:val="num" w:pos="360"/>
        </w:tabs>
        <w:ind w:left="360" w:hanging="360"/>
      </w:pPr>
    </w:lvl>
    <w:lvl w:ilvl="1">
      <w:start w:val="1"/>
      <w:numFmt w:val="lowerLetter"/>
      <w:lvlText w:val="%2."/>
      <w:lvlJc w:val="left"/>
      <w:pPr>
        <w:ind w:left="1080" w:hanging="360"/>
      </w:pPr>
    </w:lvl>
    <w:lvl w:ilvl="2">
      <w:start w:val="1"/>
      <w:numFmt w:val="upperRoman"/>
      <w:lvlText w:val="%3."/>
      <w:lvlJc w:val="right"/>
      <w:pPr>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C1B59F9"/>
    <w:multiLevelType w:val="hybridMultilevel"/>
    <w:tmpl w:val="85C43D8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A00052"/>
    <w:multiLevelType w:val="hybridMultilevel"/>
    <w:tmpl w:val="15C694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56337210">
    <w:abstractNumId w:val="10"/>
  </w:num>
  <w:num w:numId="2" w16cid:durableId="1790970720">
    <w:abstractNumId w:val="5"/>
  </w:num>
  <w:num w:numId="3" w16cid:durableId="1961182522">
    <w:abstractNumId w:val="9"/>
  </w:num>
  <w:num w:numId="4" w16cid:durableId="1767843114">
    <w:abstractNumId w:val="3"/>
  </w:num>
  <w:num w:numId="5" w16cid:durableId="1987584951">
    <w:abstractNumId w:val="2"/>
  </w:num>
  <w:num w:numId="6" w16cid:durableId="29186699">
    <w:abstractNumId w:val="8"/>
  </w:num>
  <w:num w:numId="7" w16cid:durableId="964700085">
    <w:abstractNumId w:val="10"/>
  </w:num>
  <w:num w:numId="8" w16cid:durableId="283923143">
    <w:abstractNumId w:val="8"/>
  </w:num>
  <w:num w:numId="9" w16cid:durableId="560017145">
    <w:abstractNumId w:val="2"/>
  </w:num>
  <w:num w:numId="10" w16cid:durableId="1857693068">
    <w:abstractNumId w:val="0"/>
  </w:num>
  <w:num w:numId="11" w16cid:durableId="721514150">
    <w:abstractNumId w:val="6"/>
  </w:num>
  <w:num w:numId="12" w16cid:durableId="818501478">
    <w:abstractNumId w:val="4"/>
  </w:num>
  <w:num w:numId="13" w16cid:durableId="1978142697">
    <w:abstractNumId w:val="1"/>
  </w:num>
  <w:num w:numId="14" w16cid:durableId="21336698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35CAB"/>
    <w:rsid w:val="00047AE4"/>
    <w:rsid w:val="000940F0"/>
    <w:rsid w:val="000A16A5"/>
    <w:rsid w:val="000B78EB"/>
    <w:rsid w:val="000C2084"/>
    <w:rsid w:val="000D1881"/>
    <w:rsid w:val="000D52CB"/>
    <w:rsid w:val="000D645C"/>
    <w:rsid w:val="000E063E"/>
    <w:rsid w:val="000F24FF"/>
    <w:rsid w:val="000F6ADF"/>
    <w:rsid w:val="0013369F"/>
    <w:rsid w:val="0013377A"/>
    <w:rsid w:val="0014411C"/>
    <w:rsid w:val="00145D20"/>
    <w:rsid w:val="00156150"/>
    <w:rsid w:val="00160F88"/>
    <w:rsid w:val="00176D79"/>
    <w:rsid w:val="0019250C"/>
    <w:rsid w:val="001B085E"/>
    <w:rsid w:val="001B151D"/>
    <w:rsid w:val="001C188D"/>
    <w:rsid w:val="001F5855"/>
    <w:rsid w:val="001F6B55"/>
    <w:rsid w:val="00202341"/>
    <w:rsid w:val="00207759"/>
    <w:rsid w:val="00241526"/>
    <w:rsid w:val="00242E80"/>
    <w:rsid w:val="00250A66"/>
    <w:rsid w:val="00264B39"/>
    <w:rsid w:val="0027235C"/>
    <w:rsid w:val="0027439E"/>
    <w:rsid w:val="00285F21"/>
    <w:rsid w:val="00286F59"/>
    <w:rsid w:val="002B4734"/>
    <w:rsid w:val="002B7B77"/>
    <w:rsid w:val="002D2920"/>
    <w:rsid w:val="002D31DB"/>
    <w:rsid w:val="003056AB"/>
    <w:rsid w:val="00377D40"/>
    <w:rsid w:val="00395A1E"/>
    <w:rsid w:val="003C4B10"/>
    <w:rsid w:val="003C59A9"/>
    <w:rsid w:val="003D2634"/>
    <w:rsid w:val="003E46EE"/>
    <w:rsid w:val="0041029F"/>
    <w:rsid w:val="00432B20"/>
    <w:rsid w:val="0043523E"/>
    <w:rsid w:val="00455AFF"/>
    <w:rsid w:val="00486018"/>
    <w:rsid w:val="004A24BF"/>
    <w:rsid w:val="004D28C8"/>
    <w:rsid w:val="004F426F"/>
    <w:rsid w:val="00516822"/>
    <w:rsid w:val="00535E75"/>
    <w:rsid w:val="00545459"/>
    <w:rsid w:val="00557DC1"/>
    <w:rsid w:val="0056756D"/>
    <w:rsid w:val="00572FCF"/>
    <w:rsid w:val="005A277D"/>
    <w:rsid w:val="005A71D2"/>
    <w:rsid w:val="005A785C"/>
    <w:rsid w:val="005C524D"/>
    <w:rsid w:val="00602E98"/>
    <w:rsid w:val="00620671"/>
    <w:rsid w:val="00654418"/>
    <w:rsid w:val="00670DC0"/>
    <w:rsid w:val="00686D50"/>
    <w:rsid w:val="006976DA"/>
    <w:rsid w:val="006A11DB"/>
    <w:rsid w:val="006A2DAE"/>
    <w:rsid w:val="006C2352"/>
    <w:rsid w:val="006F20D0"/>
    <w:rsid w:val="0073026F"/>
    <w:rsid w:val="00735647"/>
    <w:rsid w:val="00740CC9"/>
    <w:rsid w:val="00753641"/>
    <w:rsid w:val="00754EB8"/>
    <w:rsid w:val="00806B6B"/>
    <w:rsid w:val="0087013E"/>
    <w:rsid w:val="008A2CD9"/>
    <w:rsid w:val="008B2401"/>
    <w:rsid w:val="008C37A7"/>
    <w:rsid w:val="008C766F"/>
    <w:rsid w:val="008D0C31"/>
    <w:rsid w:val="008F1443"/>
    <w:rsid w:val="008F277B"/>
    <w:rsid w:val="0090060B"/>
    <w:rsid w:val="0090438A"/>
    <w:rsid w:val="0091651B"/>
    <w:rsid w:val="009231F4"/>
    <w:rsid w:val="00927DCE"/>
    <w:rsid w:val="00930395"/>
    <w:rsid w:val="009462E1"/>
    <w:rsid w:val="00974F3C"/>
    <w:rsid w:val="009A4430"/>
    <w:rsid w:val="009C171F"/>
    <w:rsid w:val="009E11A9"/>
    <w:rsid w:val="009F37A1"/>
    <w:rsid w:val="00A07AF8"/>
    <w:rsid w:val="00A213A6"/>
    <w:rsid w:val="00A83151"/>
    <w:rsid w:val="00AB02D0"/>
    <w:rsid w:val="00AB6604"/>
    <w:rsid w:val="00AC7D6B"/>
    <w:rsid w:val="00AE25C6"/>
    <w:rsid w:val="00AE38B2"/>
    <w:rsid w:val="00B50A1B"/>
    <w:rsid w:val="00B50C69"/>
    <w:rsid w:val="00B56238"/>
    <w:rsid w:val="00B845A7"/>
    <w:rsid w:val="00BA3525"/>
    <w:rsid w:val="00BB1589"/>
    <w:rsid w:val="00BC1CE0"/>
    <w:rsid w:val="00BE25E6"/>
    <w:rsid w:val="00BE3C66"/>
    <w:rsid w:val="00BE44AB"/>
    <w:rsid w:val="00BF1B88"/>
    <w:rsid w:val="00C05FA5"/>
    <w:rsid w:val="00C12198"/>
    <w:rsid w:val="00C32CCA"/>
    <w:rsid w:val="00C4115E"/>
    <w:rsid w:val="00C43275"/>
    <w:rsid w:val="00C71C6A"/>
    <w:rsid w:val="00C865DB"/>
    <w:rsid w:val="00C924BA"/>
    <w:rsid w:val="00CB2F19"/>
    <w:rsid w:val="00CB3BFE"/>
    <w:rsid w:val="00D07BE6"/>
    <w:rsid w:val="00D1507F"/>
    <w:rsid w:val="00D15AC6"/>
    <w:rsid w:val="00D641F2"/>
    <w:rsid w:val="00D66A70"/>
    <w:rsid w:val="00D724C4"/>
    <w:rsid w:val="00DB5617"/>
    <w:rsid w:val="00DD4F0C"/>
    <w:rsid w:val="00DE68A4"/>
    <w:rsid w:val="00DF00EC"/>
    <w:rsid w:val="00DF2310"/>
    <w:rsid w:val="00DF2FB8"/>
    <w:rsid w:val="00E16B43"/>
    <w:rsid w:val="00E27C98"/>
    <w:rsid w:val="00E358DC"/>
    <w:rsid w:val="00E41211"/>
    <w:rsid w:val="00E5309D"/>
    <w:rsid w:val="00E82866"/>
    <w:rsid w:val="00E9448A"/>
    <w:rsid w:val="00E97B21"/>
    <w:rsid w:val="00EA2E73"/>
    <w:rsid w:val="00EA5B25"/>
    <w:rsid w:val="00EB2A23"/>
    <w:rsid w:val="00ED168C"/>
    <w:rsid w:val="00F167BD"/>
    <w:rsid w:val="00F25018"/>
    <w:rsid w:val="00F32C8C"/>
    <w:rsid w:val="00F356B5"/>
    <w:rsid w:val="00FA718E"/>
    <w:rsid w:val="00FC4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150"/>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0D64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F6ADF"/>
    <w:rPr>
      <w:b/>
      <w:bCs/>
    </w:rPr>
  </w:style>
  <w:style w:type="character" w:styleId="Emphasis">
    <w:name w:val="Emphasis"/>
    <w:basedOn w:val="DefaultParagraphFont"/>
    <w:uiPriority w:val="20"/>
    <w:qFormat/>
    <w:rsid w:val="000F6ADF"/>
    <w:rPr>
      <w:i/>
      <w:iCs/>
    </w:rPr>
  </w:style>
  <w:style w:type="paragraph" w:styleId="Bibliography">
    <w:name w:val="Bibliography"/>
    <w:basedOn w:val="Normal"/>
    <w:next w:val="Normal"/>
    <w:uiPriority w:val="37"/>
    <w:unhideWhenUsed/>
    <w:rsid w:val="008A2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86628">
      <w:bodyDiv w:val="1"/>
      <w:marLeft w:val="0"/>
      <w:marRight w:val="0"/>
      <w:marTop w:val="0"/>
      <w:marBottom w:val="0"/>
      <w:divBdr>
        <w:top w:val="none" w:sz="0" w:space="0" w:color="auto"/>
        <w:left w:val="none" w:sz="0" w:space="0" w:color="auto"/>
        <w:bottom w:val="none" w:sz="0" w:space="0" w:color="auto"/>
        <w:right w:val="none" w:sz="0" w:space="0" w:color="auto"/>
      </w:divBdr>
    </w:div>
    <w:div w:id="179397784">
      <w:bodyDiv w:val="1"/>
      <w:marLeft w:val="0"/>
      <w:marRight w:val="0"/>
      <w:marTop w:val="0"/>
      <w:marBottom w:val="0"/>
      <w:divBdr>
        <w:top w:val="none" w:sz="0" w:space="0" w:color="auto"/>
        <w:left w:val="none" w:sz="0" w:space="0" w:color="auto"/>
        <w:bottom w:val="none" w:sz="0" w:space="0" w:color="auto"/>
        <w:right w:val="none" w:sz="0" w:space="0" w:color="auto"/>
      </w:divBdr>
    </w:div>
    <w:div w:id="190995607">
      <w:bodyDiv w:val="1"/>
      <w:marLeft w:val="0"/>
      <w:marRight w:val="0"/>
      <w:marTop w:val="0"/>
      <w:marBottom w:val="0"/>
      <w:divBdr>
        <w:top w:val="none" w:sz="0" w:space="0" w:color="auto"/>
        <w:left w:val="none" w:sz="0" w:space="0" w:color="auto"/>
        <w:bottom w:val="none" w:sz="0" w:space="0" w:color="auto"/>
        <w:right w:val="none" w:sz="0" w:space="0" w:color="auto"/>
      </w:divBdr>
    </w:div>
    <w:div w:id="360472687">
      <w:bodyDiv w:val="1"/>
      <w:marLeft w:val="0"/>
      <w:marRight w:val="0"/>
      <w:marTop w:val="0"/>
      <w:marBottom w:val="0"/>
      <w:divBdr>
        <w:top w:val="none" w:sz="0" w:space="0" w:color="auto"/>
        <w:left w:val="none" w:sz="0" w:space="0" w:color="auto"/>
        <w:bottom w:val="none" w:sz="0" w:space="0" w:color="auto"/>
        <w:right w:val="none" w:sz="0" w:space="0" w:color="auto"/>
      </w:divBdr>
    </w:div>
    <w:div w:id="440076805">
      <w:bodyDiv w:val="1"/>
      <w:marLeft w:val="0"/>
      <w:marRight w:val="0"/>
      <w:marTop w:val="0"/>
      <w:marBottom w:val="0"/>
      <w:divBdr>
        <w:top w:val="none" w:sz="0" w:space="0" w:color="auto"/>
        <w:left w:val="none" w:sz="0" w:space="0" w:color="auto"/>
        <w:bottom w:val="none" w:sz="0" w:space="0" w:color="auto"/>
        <w:right w:val="none" w:sz="0" w:space="0" w:color="auto"/>
      </w:divBdr>
    </w:div>
    <w:div w:id="700711862">
      <w:bodyDiv w:val="1"/>
      <w:marLeft w:val="0"/>
      <w:marRight w:val="0"/>
      <w:marTop w:val="0"/>
      <w:marBottom w:val="0"/>
      <w:divBdr>
        <w:top w:val="none" w:sz="0" w:space="0" w:color="auto"/>
        <w:left w:val="none" w:sz="0" w:space="0" w:color="auto"/>
        <w:bottom w:val="none" w:sz="0" w:space="0" w:color="auto"/>
        <w:right w:val="none" w:sz="0" w:space="0" w:color="auto"/>
      </w:divBdr>
    </w:div>
    <w:div w:id="1183593175">
      <w:bodyDiv w:val="1"/>
      <w:marLeft w:val="0"/>
      <w:marRight w:val="0"/>
      <w:marTop w:val="0"/>
      <w:marBottom w:val="0"/>
      <w:divBdr>
        <w:top w:val="none" w:sz="0" w:space="0" w:color="auto"/>
        <w:left w:val="none" w:sz="0" w:space="0" w:color="auto"/>
        <w:bottom w:val="none" w:sz="0" w:space="0" w:color="auto"/>
        <w:right w:val="none" w:sz="0" w:space="0" w:color="auto"/>
      </w:divBdr>
    </w:div>
    <w:div w:id="1183593987">
      <w:bodyDiv w:val="1"/>
      <w:marLeft w:val="0"/>
      <w:marRight w:val="0"/>
      <w:marTop w:val="0"/>
      <w:marBottom w:val="0"/>
      <w:divBdr>
        <w:top w:val="none" w:sz="0" w:space="0" w:color="auto"/>
        <w:left w:val="none" w:sz="0" w:space="0" w:color="auto"/>
        <w:bottom w:val="none" w:sz="0" w:space="0" w:color="auto"/>
        <w:right w:val="none" w:sz="0" w:space="0" w:color="auto"/>
      </w:divBdr>
    </w:div>
    <w:div w:id="1346706426">
      <w:bodyDiv w:val="1"/>
      <w:marLeft w:val="0"/>
      <w:marRight w:val="0"/>
      <w:marTop w:val="0"/>
      <w:marBottom w:val="0"/>
      <w:divBdr>
        <w:top w:val="none" w:sz="0" w:space="0" w:color="auto"/>
        <w:left w:val="none" w:sz="0" w:space="0" w:color="auto"/>
        <w:bottom w:val="none" w:sz="0" w:space="0" w:color="auto"/>
        <w:right w:val="none" w:sz="0" w:space="0" w:color="auto"/>
      </w:divBdr>
    </w:div>
    <w:div w:id="1681617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Far25</b:Tag>
    <b:SourceType>InternetSite</b:SourceType>
    <b:Guid>{ED152DAA-D8D0-9242-B4FC-79514E519CF5}</b:Guid>
    <b:Title>Appfire</b:Title>
    <b:Year>2025</b:Year>
    <b:Author>
      <b:Author>
        <b:NameList>
          <b:Person>
            <b:Last>Farah</b:Last>
            <b:First>David</b:First>
          </b:Person>
        </b:NameList>
      </b:Author>
    </b:Author>
    <b:Month>June</b:Month>
    <b:Day>17</b:Day>
    <b:InternetSiteTitle>The code review checklist that actually helps</b:InternetSiteTitle>
    <b:URL>https://appfire.com/resources/blog/code-review-checklist</b:URL>
    <b:RefOrder>1</b:RefOrder>
  </b:Source>
  <b:Source>
    <b:Tag>OWA17</b:Tag>
    <b:SourceType>InternetSite</b:SourceType>
    <b:Guid>{1814B1FA-1624-B841-A457-E0F71791DEF6}</b:Guid>
    <b:Title>OWASP</b:Title>
    <b:InternetSiteTitle>OWASP Code Review Guide</b:InternetSiteTitle>
    <b:URL>https://owasp.org/www-project-code-review-guide/</b:URL>
    <b:Year>2017</b:Year>
    <b:Month>July</b:Month>
    <b:RefOrder>2</b:RefOrder>
  </b:Source>
</b:Sources>
</file>

<file path=customXml/item2.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3F3E016-D872-214E-8F67-02A5DAF8028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564</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Grace, Anita</cp:lastModifiedBy>
  <cp:revision>5</cp:revision>
  <dcterms:created xsi:type="dcterms:W3CDTF">2026-01-31T19:50:00Z</dcterms:created>
  <dcterms:modified xsi:type="dcterms:W3CDTF">2026-01-31T20:02:00Z</dcterms:modified>
</cp:coreProperties>
</file>