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EVALUADOR</w:t>
      </w:r>
    </w:p>
    <w:p w:rsidR="00000000" w:rsidDel="00000000" w:rsidP="00000000" w:rsidRDefault="00000000" w:rsidRPr="00000000" w14:paraId="00000004">
      <w:pPr>
        <w:spacing w:after="120" w:before="120" w:line="240" w:lineRule="auto"/>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tl w:val="0"/>
        </w:rPr>
        <w:t xml:space="preserve">Alta autoconfianza, reacio a otros puntos de vista, emocional, buen orador, creativo, soñador, demasiado crítico en ocasiones.</w:t>
      </w:r>
    </w:p>
    <w:p w:rsidR="00000000" w:rsidDel="00000000" w:rsidP="00000000" w:rsidRDefault="00000000" w:rsidRPr="00000000" w14:paraId="00000005">
      <w:pPr>
        <w:spacing w:after="120" w:before="120" w:line="240" w:lineRule="auto"/>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6">
      <w:pPr>
        <w:spacing w:after="120" w:before="120" w:line="240" w:lineRule="auto"/>
        <w:rPr>
          <w:rFonts w:ascii="Arial" w:cs="Arial" w:eastAsia="Arial" w:hAnsi="Arial"/>
          <w:b w:val="1"/>
          <w:i w:val="1"/>
          <w:color w:val="323e4f"/>
          <w:sz w:val="24"/>
          <w:szCs w:val="24"/>
        </w:rPr>
      </w:pPr>
      <w:r w:rsidDel="00000000" w:rsidR="00000000" w:rsidRPr="00000000">
        <w:rPr>
          <w:rFonts w:ascii="Arial" w:cs="Arial" w:eastAsia="Arial" w:hAnsi="Arial"/>
          <w:b w:val="1"/>
          <w:i w:val="1"/>
          <w:color w:val="323e4f"/>
          <w:sz w:val="24"/>
          <w:szCs w:val="24"/>
          <w:rtl w:val="0"/>
        </w:rPr>
        <w:t xml:space="preserve">¡Bienvenidos al Perfil Evaluador!</w:t>
      </w:r>
    </w:p>
    <w:p w:rsidR="00000000" w:rsidDel="00000000" w:rsidP="00000000" w:rsidRDefault="00000000" w:rsidRPr="00000000" w14:paraId="00000007">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Las personas que tienen el perfil Evaluador suelen tomar las ideas creativas y las utilizan con fines prácticos. </w:t>
      </w:r>
    </w:p>
    <w:p w:rsidR="00000000" w:rsidDel="00000000" w:rsidP="00000000" w:rsidRDefault="00000000" w:rsidRPr="00000000" w14:paraId="00000008">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Son competitivos y utilizan métodos directos para conseguir resultados. Sin embargo, hay quienes consideran a este estilo más agresivo ya que no siempre muestran consideración hacia los demás. </w:t>
      </w:r>
    </w:p>
    <w:p w:rsidR="00000000" w:rsidDel="00000000" w:rsidP="00000000" w:rsidRDefault="00000000" w:rsidRPr="00000000" w14:paraId="00000009">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En lugar de ordenar y mandar, los Evaluadores deberían involucrar a las personas en el trabajo usando métodos más persuasivos. Pueden obtener la cooperación de quienes los rodean al explicar la lógica de las actividades propuestas.</w:t>
      </w:r>
    </w:p>
    <w:p w:rsidR="00000000" w:rsidDel="00000000" w:rsidP="00000000" w:rsidRDefault="00000000" w:rsidRPr="00000000" w14:paraId="0000000A">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Evaluadores suelen ser capaces de ayudar a los demás a visualizar los pasos necesarios para lograr resultados. Por lo general hablan de un plan de acción detallado que ellos mismos desarrollarán para asegurar una progresión ordenada hacia los resultados. Sin embargo, en su afán de ganar, los Evaluadores se pueden impacientar cuando las personas no se mantienen en los niveles requeridos o cuando necesitan mucho seguimiento.</w:t>
      </w:r>
    </w:p>
    <w:p w:rsidR="00000000" w:rsidDel="00000000" w:rsidP="00000000" w:rsidRDefault="00000000" w:rsidRPr="00000000" w14:paraId="0000000B">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evaluadores tienen un pensamiento bastante analítico y son hábiles para expresar en palabras sus críticas. En ocasiones su estilo para comunicarse puede ser bastante hiriente. </w:t>
      </w:r>
    </w:p>
    <w:p w:rsidR="00000000" w:rsidDel="00000000" w:rsidP="00000000" w:rsidRDefault="00000000" w:rsidRPr="00000000" w14:paraId="0000000C">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Evaluadores controlan mejor la situación cuando se relajan y disminuyen su ritmo de trabajo. Un axioma que les sería útil para lograrlo es: “algunas veces se gana y otras se pierde”.</w:t>
      </w:r>
    </w:p>
    <w:tbl>
      <w:tblPr>
        <w:tblStyle w:val="Table1"/>
        <w:tblW w:w="992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880"/>
        <w:gridCol w:w="7043"/>
        <w:tblGridChange w:id="0">
          <w:tblGrid>
            <w:gridCol w:w="2880"/>
            <w:gridCol w:w="7043"/>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D">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su comportamiento natural?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El comportamiento natural de los Evaluadores está relacionado con trabajar con un fuerte impulso por causar buena impresión en los ámbitos donde se desempeñan.</w:t>
            </w:r>
          </w:p>
        </w:tc>
      </w:tr>
      <w:tr>
        <w:trPr>
          <w:cantSplit w:val="0"/>
          <w:trHeight w:val="297.97851562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0">
            <w:pPr>
              <w:spacing w:after="120" w:before="120" w:line="240" w:lineRule="auto"/>
              <w:rPr>
                <w:rFonts w:ascii="Arial" w:cs="Arial" w:eastAsia="Arial" w:hAnsi="Arial"/>
                <w:color w:val="323e4f"/>
              </w:rPr>
            </w:pP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¿A qué objetivos o metas suelen orientarse?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El objetivo clave para este estilo es “ganar” con estilo.</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3">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4">
            <w:pPr>
              <w:spacing w:after="120" w:before="120" w:line="240" w:lineRule="auto"/>
              <w:rPr>
                <w:rFonts w:ascii="Arial" w:cs="Arial" w:eastAsia="Arial" w:hAnsi="Arial"/>
                <w:color w:val="323e4f"/>
              </w:rPr>
            </w:pP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5">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¿Por qué temas suelen juzgar a los demás?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Suelen juzgar a los demás por su capacidad de tomar iniciativas. </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7">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8">
            <w:pPr>
              <w:spacing w:after="120" w:before="120" w:line="240" w:lineRule="auto"/>
              <w:rPr>
                <w:rFonts w:ascii="Arial" w:cs="Arial" w:eastAsia="Arial" w:hAnsi="Arial"/>
                <w:color w:val="323e4f"/>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9">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el valor principal de este perfil para la organización?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El valor que este patrón tiene para la organización está en relación con lograr sus metas a través de los demás.</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C">
            <w:pPr>
              <w:spacing w:after="120" w:before="120" w:line="240" w:lineRule="auto"/>
              <w:rPr>
                <w:rFonts w:ascii="Arial" w:cs="Arial" w:eastAsia="Arial" w:hAnsi="Arial"/>
                <w:color w:val="323e4f"/>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¿En qué aspectos podrían abusar de su estilo?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E">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Este estilo puede abusar de su autoridad y de su ingenio.</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0">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se manejan bajo presión?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Cuando están bajo presión pueden tornarse intranquilos, críticos o impacientes.</w:t>
            </w:r>
          </w:p>
        </w:tc>
      </w:tr>
      <w:tr>
        <w:trPr>
          <w:cantSplit w:val="0"/>
          <w:trHeight w:val="303"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spacing w:after="120" w:before="120" w:line="240" w:lineRule="auto"/>
              <w:rPr>
                <w:rFonts w:ascii="Arial" w:cs="Arial" w:eastAsia="Arial" w:hAnsi="Arial"/>
                <w:color w:val="323e4f"/>
              </w:rPr>
            </w:pPr>
            <w:r w:rsidDel="00000000" w:rsidR="00000000" w:rsidRPr="00000000">
              <w:rPr>
                <w:rtl w:val="0"/>
              </w:rPr>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influyen sobre los demás?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Influyen en los demás al hacerles competir por su reconocimiento, por mostrarse más y que se destaquen.</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su mayor temor?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A">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El mayor temor que suelen tener los Evaluadores es el de “perder” ya que nunca quieren quedar mal ante los demás.</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C">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podrían ser más eficaces?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E">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Serían más eficaces sí llevaran a cabo el seguimiento de los procesos hasta el final; también explicando empáticamente cuando están en desacuerdo. Es importante que marquen un ritmo más realista en las actividades que desempeñan.</w:t>
            </w:r>
          </w:p>
        </w:tc>
      </w:tr>
    </w:tbl>
    <w:p w:rsidR="00000000" w:rsidDel="00000000" w:rsidP="00000000" w:rsidRDefault="00000000" w:rsidRPr="00000000" w14:paraId="0000002F">
      <w:pPr>
        <w:spacing w:after="120" w:before="120" w:line="240" w:lineRule="auto"/>
        <w:rPr>
          <w:rFonts w:ascii="Arial" w:cs="Arial" w:eastAsia="Arial" w:hAnsi="Arial"/>
          <w:b w:val="1"/>
          <w:color w:val="323e4f"/>
          <w:sz w:val="24"/>
          <w:szCs w:val="24"/>
        </w:rPr>
      </w:pPr>
      <w:r w:rsidDel="00000000" w:rsidR="00000000" w:rsidRPr="00000000">
        <w:rPr>
          <w:rtl w:val="0"/>
        </w:rPr>
      </w:r>
    </w:p>
    <w:tbl>
      <w:tblPr>
        <w:tblStyle w:val="Table2"/>
        <w:tblW w:w="10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0"/>
        <w:gridCol w:w="284"/>
        <w:gridCol w:w="4546"/>
        <w:tblGridChange w:id="0">
          <w:tblGrid>
            <w:gridCol w:w="5240"/>
            <w:gridCol w:w="284"/>
            <w:gridCol w:w="4546"/>
          </w:tblGrid>
        </w:tblGridChange>
      </w:tblGrid>
      <w:tr>
        <w:trPr>
          <w:cantSplit w:val="0"/>
          <w:tblHeader w:val="0"/>
        </w:trPr>
        <w:tc>
          <w:tcPr>
            <w:shd w:fill="69af26" w:val="clear"/>
          </w:tcPr>
          <w:p w:rsidR="00000000" w:rsidDel="00000000" w:rsidP="00000000" w:rsidRDefault="00000000" w:rsidRPr="00000000" w14:paraId="00000030">
            <w:pPr>
              <w:spacing w:after="120" w:before="120"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FORTALEZAS</w:t>
            </w:r>
            <w:r w:rsidDel="00000000" w:rsidR="00000000" w:rsidRPr="00000000">
              <w:rPr>
                <w:rtl w:val="0"/>
              </w:rPr>
            </w:r>
          </w:p>
          <w:p w:rsidR="00000000" w:rsidDel="00000000" w:rsidP="00000000" w:rsidRDefault="00000000" w:rsidRPr="00000000" w14:paraId="00000031">
            <w:pPr>
              <w:numPr>
                <w:ilvl w:val="0"/>
                <w:numId w:val="1"/>
              </w:numPr>
              <w:ind w:left="360" w:hanging="360"/>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Pensamiento crítico</w:t>
            </w:r>
            <w:r w:rsidDel="00000000" w:rsidR="00000000" w:rsidRPr="00000000">
              <w:rPr>
                <w:rtl w:val="0"/>
              </w:rPr>
            </w:r>
          </w:p>
          <w:p w:rsidR="00000000" w:rsidDel="00000000" w:rsidP="00000000" w:rsidRDefault="00000000" w:rsidRPr="00000000" w14:paraId="00000032">
            <w:pPr>
              <w:numPr>
                <w:ilvl w:val="0"/>
                <w:numId w:val="1"/>
              </w:numPr>
              <w:ind w:left="360" w:hanging="360"/>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Capacidad de innovación</w:t>
            </w:r>
            <w:r w:rsidDel="00000000" w:rsidR="00000000" w:rsidRPr="00000000">
              <w:rPr>
                <w:rtl w:val="0"/>
              </w:rPr>
            </w:r>
          </w:p>
          <w:p w:rsidR="00000000" w:rsidDel="00000000" w:rsidP="00000000" w:rsidRDefault="00000000" w:rsidRPr="00000000" w14:paraId="00000033">
            <w:pPr>
              <w:numPr>
                <w:ilvl w:val="0"/>
                <w:numId w:val="1"/>
              </w:numPr>
              <w:ind w:left="360" w:hanging="360"/>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Comunicación asertiva</w:t>
            </w:r>
            <w:r w:rsidDel="00000000" w:rsidR="00000000" w:rsidRPr="00000000">
              <w:rPr>
                <w:rtl w:val="0"/>
              </w:rPr>
            </w:r>
          </w:p>
          <w:p w:rsidR="00000000" w:rsidDel="00000000" w:rsidP="00000000" w:rsidRDefault="00000000" w:rsidRPr="00000000" w14:paraId="00000034">
            <w:pPr>
              <w:numPr>
                <w:ilvl w:val="0"/>
                <w:numId w:val="1"/>
              </w:numPr>
              <w:ind w:left="360" w:hanging="360"/>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Resolución de problemas complejos</w:t>
            </w:r>
            <w:r w:rsidDel="00000000" w:rsidR="00000000" w:rsidRPr="00000000">
              <w:rPr>
                <w:rtl w:val="0"/>
              </w:rPr>
            </w:r>
          </w:p>
        </w:tc>
        <w:tc>
          <w:tcPr/>
          <w:p w:rsidR="00000000" w:rsidDel="00000000" w:rsidP="00000000" w:rsidRDefault="00000000" w:rsidRPr="00000000" w14:paraId="00000035">
            <w:pPr>
              <w:spacing w:after="120" w:before="120" w:lineRule="auto"/>
              <w:rPr>
                <w:rFonts w:ascii="Arial" w:cs="Arial" w:eastAsia="Arial" w:hAnsi="Arial"/>
                <w:color w:val="323e4f"/>
                <w:sz w:val="20"/>
                <w:szCs w:val="20"/>
              </w:rPr>
            </w:pPr>
            <w:r w:rsidDel="00000000" w:rsidR="00000000" w:rsidRPr="00000000">
              <w:rPr>
                <w:rtl w:val="0"/>
              </w:rPr>
            </w:r>
          </w:p>
        </w:tc>
        <w:tc>
          <w:tcPr>
            <w:shd w:fill="cb0200" w:val="clear"/>
          </w:tcPr>
          <w:p w:rsidR="00000000" w:rsidDel="00000000" w:rsidP="00000000" w:rsidRDefault="00000000" w:rsidRPr="00000000" w14:paraId="00000036">
            <w:pPr>
              <w:spacing w:after="120" w:before="120" w:lineRule="auto"/>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DEBILIDADES</w:t>
            </w:r>
            <w:r w:rsidDel="00000000" w:rsidR="00000000" w:rsidRPr="00000000">
              <w:rPr>
                <w:rtl w:val="0"/>
              </w:rPr>
            </w:r>
          </w:p>
          <w:p w:rsidR="00000000" w:rsidDel="00000000" w:rsidP="00000000" w:rsidRDefault="00000000" w:rsidRPr="00000000" w14:paraId="00000037">
            <w:pPr>
              <w:numPr>
                <w:ilvl w:val="0"/>
                <w:numId w:val="2"/>
              </w:numPr>
              <w:ind w:left="357" w:hanging="357"/>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Pueden tener dificultades para regular las emociones</w:t>
            </w:r>
            <w:r w:rsidDel="00000000" w:rsidR="00000000" w:rsidRPr="00000000">
              <w:rPr>
                <w:rtl w:val="0"/>
              </w:rPr>
            </w:r>
          </w:p>
          <w:p w:rsidR="00000000" w:rsidDel="00000000" w:rsidP="00000000" w:rsidRDefault="00000000" w:rsidRPr="00000000" w14:paraId="00000038">
            <w:pPr>
              <w:numPr>
                <w:ilvl w:val="0"/>
                <w:numId w:val="2"/>
              </w:numPr>
              <w:ind w:left="357" w:hanging="357"/>
              <w:jc w:val="both"/>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No escuchar otros puntos de vista</w:t>
            </w:r>
            <w:r w:rsidDel="00000000" w:rsidR="00000000" w:rsidRPr="00000000">
              <w:rPr>
                <w:rtl w:val="0"/>
              </w:rPr>
            </w:r>
          </w:p>
          <w:p w:rsidR="00000000" w:rsidDel="00000000" w:rsidP="00000000" w:rsidRDefault="00000000" w:rsidRPr="00000000" w14:paraId="00000039">
            <w:pPr>
              <w:numPr>
                <w:ilvl w:val="0"/>
                <w:numId w:val="2"/>
              </w:numPr>
              <w:ind w:left="357" w:hanging="357"/>
              <w:jc w:val="both"/>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Baja empatía</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Open Sans" w:cs="Open Sans" w:eastAsia="Open Sans" w:hAnsi="Open Sans"/>
                <w:color w:val="ffffff"/>
              </w:rPr>
            </w:pPr>
            <w:r w:rsidDel="00000000" w:rsidR="00000000" w:rsidRPr="00000000">
              <w:rPr>
                <w:rFonts w:ascii="Open Sans" w:cs="Open Sans" w:eastAsia="Open Sans" w:hAnsi="Open Sans"/>
                <w:color w:val="ffffff"/>
                <w:sz w:val="20"/>
                <w:szCs w:val="20"/>
                <w:rtl w:val="0"/>
              </w:rPr>
              <w:t xml:space="preserve">No realizar otras tareas si consideran que no le competen</w:t>
            </w:r>
            <w:r w:rsidDel="00000000" w:rsidR="00000000" w:rsidRPr="00000000">
              <w:rPr>
                <w:rtl w:val="0"/>
              </w:rPr>
            </w:r>
          </w:p>
        </w:tc>
      </w:tr>
    </w:tbl>
    <w:p w:rsidR="00000000" w:rsidDel="00000000" w:rsidP="00000000" w:rsidRDefault="00000000" w:rsidRPr="00000000" w14:paraId="0000003B">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C">
      <w:pPr>
        <w:tabs>
          <w:tab w:val="left" w:leader="none" w:pos="2950"/>
        </w:tabs>
        <w:spacing w:after="120" w:before="120" w:line="240" w:lineRule="auto"/>
        <w:ind w:left="70" w:firstLine="0"/>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ab/>
      </w:r>
    </w:p>
    <w:p w:rsidR="00000000" w:rsidDel="00000000" w:rsidP="00000000" w:rsidRDefault="00000000" w:rsidRPr="00000000" w14:paraId="0000003D">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E">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b w:val="1"/>
          <w:color w:val="323e4f"/>
          <w:sz w:val="24"/>
          <w:szCs w:val="24"/>
          <w:rtl w:val="0"/>
        </w:rPr>
        <w:t xml:space="preserve">MÁS INFO SOBRE TUS PERFILES BAJO PRESIÓN Y MOTIVACIÓN</w:t>
      </w:r>
      <w:r w:rsidDel="00000000" w:rsidR="00000000" w:rsidRPr="00000000">
        <w:rPr>
          <w:rtl w:val="0"/>
        </w:rPr>
      </w:r>
    </w:p>
    <w:p w:rsidR="00000000" w:rsidDel="00000000" w:rsidP="00000000" w:rsidRDefault="00000000" w:rsidRPr="00000000" w14:paraId="0000003F">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Complementando tu perfil integral, te compartimos información sobre los otros patrones que complementan tu estilo:</w:t>
      </w:r>
    </w:p>
    <w:p w:rsidR="00000000" w:rsidDel="00000000" w:rsidP="00000000" w:rsidRDefault="00000000" w:rsidRPr="00000000" w14:paraId="00000040">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1">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     </w:t>
      </w:r>
    </w:p>
    <w:p w:rsidR="00000000" w:rsidDel="00000000" w:rsidP="00000000" w:rsidRDefault="00000000" w:rsidRPr="00000000" w14:paraId="00000042">
      <w:pPr>
        <w:spacing w:after="120" w:before="120" w:line="240" w:lineRule="auto"/>
        <w:rPr>
          <w:rFonts w:ascii="Arial" w:cs="Arial" w:eastAsia="Arial" w:hAnsi="Arial"/>
          <w:color w:val="323e4f"/>
        </w:rPr>
      </w:pP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351c75"/>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color w:val="000000"/>
      </w:rPr>
    </w:pPr>
    <w:r w:rsidDel="00000000" w:rsidR="00000000" w:rsidRPr="00000000">
      <w:rPr/>
      <w:drawing>
        <wp:inline distB="114300" distT="114300" distL="114300" distR="114300">
          <wp:extent cx="1709738" cy="70935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9738" cy="7093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LSHu1ADnXcvPu3IDgcI9BiGiA==">CgMxLjA4AHIhMWdCV01ycnlCN0RMRDh4Tjh6cjNHSy1qd1U1M0RmVUlZ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2025-06-09T23:33:00Z</dcterms:created>
  <dc:creator>marina garrido</dc:creator>
</cp:coreProperties>
</file>