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Tu perfil o estilo de comportamiento diario es el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32"/>
          <w:szCs w:val="32"/>
          <w:rtl w:val="0"/>
        </w:rPr>
        <w:t xml:space="preserve">PERFIL PROMOTOR</w:t>
      </w:r>
    </w:p>
    <w:p w:rsidR="00000000" w:rsidDel="00000000" w:rsidP="00000000" w:rsidRDefault="00000000" w:rsidRPr="00000000" w14:paraId="00000004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23e4f"/>
          <w:sz w:val="24"/>
          <w:szCs w:val="24"/>
          <w:rtl w:val="0"/>
        </w:rPr>
        <w:t xml:space="preserve">Influyente, motivador, extrovertido, puede volverse algo manipulador, metas a través de los demás, generador.</w:t>
      </w:r>
    </w:p>
    <w:p w:rsidR="00000000" w:rsidDel="00000000" w:rsidP="00000000" w:rsidRDefault="00000000" w:rsidRPr="00000000" w14:paraId="00000005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23e4f"/>
          <w:rtl w:val="0"/>
        </w:rPr>
        <w:t xml:space="preserve">¡Bienvenidos al Perfil Promotor!</w:t>
      </w:r>
    </w:p>
    <w:p w:rsidR="00000000" w:rsidDel="00000000" w:rsidP="00000000" w:rsidRDefault="00000000" w:rsidRPr="00000000" w14:paraId="00000007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Las personas que tienen el perfil del Promotor cuentan con una intensa red de contactos que les proporcionan una base activa para realizar sus negocios.</w:t>
      </w:r>
    </w:p>
    <w:p w:rsidR="00000000" w:rsidDel="00000000" w:rsidP="00000000" w:rsidRDefault="00000000" w:rsidRPr="00000000" w14:paraId="00000008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Son gregarios y sociables por naturaleza; les es fácil hacerse amigos. Rara vez se oponen intencionalmente a alguien. </w:t>
      </w:r>
    </w:p>
    <w:p w:rsidR="00000000" w:rsidDel="00000000" w:rsidP="00000000" w:rsidRDefault="00000000" w:rsidRPr="00000000" w14:paraId="00000009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Los Promotores buscan ambientes socialmente favorables donde puedan continuar desarrollando y conservando sus contactos. </w:t>
      </w:r>
    </w:p>
    <w:p w:rsidR="00000000" w:rsidDel="00000000" w:rsidP="00000000" w:rsidRDefault="00000000" w:rsidRPr="00000000" w14:paraId="0000000A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Las personas que son parte de este patrón promueven muy bien sus propias ideas con muy buena capacidad de oratoria, y generan entusiasmo hacia proyectos de otros.</w:t>
      </w:r>
    </w:p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Gracias a su amplia red de contactos, los Promotores tienen acceso a las personas apropiadas cuando necesitan ayuda.</w:t>
      </w:r>
    </w:p>
    <w:p w:rsidR="00000000" w:rsidDel="00000000" w:rsidP="00000000" w:rsidRDefault="00000000" w:rsidRPr="00000000" w14:paraId="0000000C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En vista de que los Promotores prefieren por naturaleza la interacción con otros y participar en actividades que implican contacto con gente, pueden interesarse menos en la realización de las tareas o responsabilidades.</w:t>
      </w:r>
    </w:p>
    <w:p w:rsidR="00000000" w:rsidDel="00000000" w:rsidP="00000000" w:rsidRDefault="00000000" w:rsidRPr="00000000" w14:paraId="0000000D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Aunque su trabajo imponga actividades solitarias, seguirán buscando situaciones que impliquen reuniones y vida social activa. Les agrada participar en reuniones, comités y conferencias.</w:t>
      </w:r>
    </w:p>
    <w:p w:rsidR="00000000" w:rsidDel="00000000" w:rsidP="00000000" w:rsidRDefault="00000000" w:rsidRPr="00000000" w14:paraId="0000000E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Por su optimismo natural, los Promotores tienden a sobrestimar la capacidad de los demás. Pueden llegar a conclusiones favorables sin haber considerado todos los hechos. </w:t>
      </w:r>
    </w:p>
    <w:p w:rsidR="00000000" w:rsidDel="00000000" w:rsidP="00000000" w:rsidRDefault="00000000" w:rsidRPr="00000000" w14:paraId="0000000F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Con entrenamiento y dirección adecuados se puede ayudar a los Promotores a desarrollar más la objetividad y a dar la importancia debida a los resultados. </w:t>
      </w:r>
    </w:p>
    <w:p w:rsidR="00000000" w:rsidDel="00000000" w:rsidP="00000000" w:rsidRDefault="00000000" w:rsidRPr="00000000" w14:paraId="00000010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Planear y controlar el tiempo les puede significar un reto. Les conviene organizarse y limitar el tiempo dedicado a conversar y, de esta manera, recordarse a sí mismos la urgencia de llevar a cabo y concluir las tareas o actividades que tienen pendientes.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80"/>
        <w:gridCol w:w="7043"/>
        <w:tblGridChange w:id="0">
          <w:tblGrid>
            <w:gridCol w:w="2880"/>
            <w:gridCol w:w="7043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¿Cuál es su comportamiento natural?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Las personas que poseen este patrón naturalmente están dispuestas a aceptar a los demás.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¿A qué objetivos o metas suelen orientarse?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El objetivo natural que tienen es buscar la aprobación y ganar popularidad con las personas.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¿Por qué temas suelen juzgar a los demás?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Tienden a juzgar a los demás por su forma de expresarse.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¿Cuál es el valor principal de este perfil para la organización?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El valor que tiene este patrón para la organización suele estar en relación con la promoción de proyectos y personas. Los promotores suelen aliviar tensiones dentro de los grupos.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¿En qué aspectos podrían abusar de su estilo?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En ocasiones, pueden abusar de elogios y optimismo.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¿Cómo se manejan bajo presión?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Bajo presión pueden actuar en forma sentimental y menos cuidada, desorganizarse y no siempre lograr concretar sus objetivos.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¿Cómo influyen sobre otros?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Influyen sobre los demás mediante: alabanzas, oportunidades que les ofrecen o haciéndoles favores.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¿Cuál es su mayor temor?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El mayor temor que tienen los que están dentro de este patrón, es perder la aceptación social ya que esto podría afectar su autoestima.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¿Cómo podrían ser más eficaces?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Serían más eficaces si tuvieran más control del tiempo y fueran un poco más objetivos; en ocasiones pueden perder el foco de lo que es “Urgente”. Sería deseable que lograran controlar un poco más sus emociones y cumplir hasta el final sus acuerdos o tareas.</w:t>
            </w:r>
          </w:p>
        </w:tc>
      </w:tr>
    </w:tbl>
    <w:p w:rsidR="00000000" w:rsidDel="00000000" w:rsidP="00000000" w:rsidRDefault="00000000" w:rsidRPr="00000000" w14:paraId="00000035">
      <w:pPr>
        <w:spacing w:after="120" w:before="120" w:line="240" w:lineRule="auto"/>
        <w:rPr>
          <w:rFonts w:ascii="Arial" w:cs="Arial" w:eastAsia="Arial" w:hAnsi="Arial"/>
          <w:b w:val="1"/>
          <w:color w:val="323e4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40"/>
        <w:gridCol w:w="284"/>
        <w:gridCol w:w="4546"/>
        <w:tblGridChange w:id="0">
          <w:tblGrid>
            <w:gridCol w:w="5240"/>
            <w:gridCol w:w="284"/>
            <w:gridCol w:w="4546"/>
          </w:tblGrid>
        </w:tblGridChange>
      </w:tblGrid>
      <w:tr>
        <w:trPr>
          <w:cantSplit w:val="0"/>
          <w:tblHeader w:val="0"/>
        </w:trPr>
        <w:tc>
          <w:tcPr>
            <w:shd w:fill="69af26" w:val="clear"/>
          </w:tcPr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FORTALEZAS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Promover e impulsar proyectos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Innovación y creatividad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Capacidad de comunicación e influencia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Competencias interpersonales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b0200" w:val="clear"/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Mala gestión del tiempo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Mala gestión de la prioridad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Excesivo optimismo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Poco cumplidor</w:t>
            </w:r>
          </w:p>
        </w:tc>
      </w:tr>
    </w:tbl>
    <w:p w:rsidR="00000000" w:rsidDel="00000000" w:rsidP="00000000" w:rsidRDefault="00000000" w:rsidRPr="00000000" w14:paraId="00000041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b w:val="1"/>
          <w:color w:val="323e4f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rtl w:val="0"/>
        </w:rPr>
        <w:tab/>
      </w:r>
    </w:p>
    <w:p w:rsidR="00000000" w:rsidDel="00000000" w:rsidP="00000000" w:rsidRDefault="00000000" w:rsidRPr="00000000" w14:paraId="00000043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rtl w:val="0"/>
        </w:rPr>
        <w:t xml:space="preserve">MÁS INFO SOBRE TUS PERFILES BAJO PRESIÓN Y MOTIVACIÓN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Complementando tu perfil integral, te compartimos información sobre los otros patrones que complementan tu estilo:</w:t>
      </w:r>
    </w:p>
    <w:p w:rsidR="00000000" w:rsidDel="00000000" w:rsidP="00000000" w:rsidRDefault="00000000" w:rsidRPr="00000000" w14:paraId="00000046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7030a0"/>
      </w:rPr>
    </w:pPr>
    <w:r w:rsidDel="00000000" w:rsidR="00000000" w:rsidRPr="00000000">
      <w:rPr>
        <w:color w:val="7030a0"/>
        <w:sz w:val="20"/>
        <w:szCs w:val="20"/>
        <w:rtl w:val="0"/>
      </w:rPr>
      <w:t xml:space="preserve">pág. </w:t>
    </w:r>
    <w:r w:rsidDel="00000000" w:rsidR="00000000" w:rsidRPr="00000000">
      <w:rPr>
        <w:color w:val="7030a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7030a0"/>
        <w:rtl w:val="0"/>
      </w:rPr>
      <w:t xml:space="preserve">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right="-410"/>
      <w:jc w:val="right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525639" cy="636098"/>
          <wp:effectExtent b="0" l="0" r="0" t="0"/>
          <wp:docPr id="173157685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5639" cy="6360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right="-410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5111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65111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5111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5111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5111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51118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5111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5111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5111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51118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65111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65111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5111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5111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5111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51118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5111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51118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51118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B09AB"/>
  </w:style>
  <w:style w:type="paragraph" w:styleId="Piedepgina">
    <w:name w:val="footer"/>
    <w:basedOn w:val="Normal"/>
    <w:link w:val="Piedepgina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B09AB"/>
  </w:style>
  <w:style w:type="character" w:styleId="Textoennegrita">
    <w:name w:val="Strong"/>
    <w:basedOn w:val="Fuentedeprrafopredeter"/>
    <w:uiPriority w:val="22"/>
    <w:qFormat w:val="1"/>
    <w:rsid w:val="00F50A40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A269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Tablaconcuadrcula">
    <w:name w:val="Table Grid"/>
    <w:basedOn w:val="Tablanormal"/>
    <w:uiPriority w:val="39"/>
    <w:rsid w:val="009317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AcE+/cGuuaj5NOn471nhJWWUxA==">CgMxLjA4AHIhMXAxNUVtaEtzZ3VTdGgwbkhjZW5JZG5DWUxfNU4wVHhI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2025-06-10T11:58:00Z</dcterms:created>
  <dc:creator>marina garrido</dc:creator>
</cp:coreProperties>
</file>