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Project Design Phase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Solution Architecture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20 February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LTVIP2026TMIDS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75493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Heritage Treasures: An In-Depth Analysis of UNESCO World Heritage Sites in Tableau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4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Solution Architecture: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Solution architecture bridges the gap between the identified business problem — difficulty in interpreting large UNESCO World Heritage datasets — and the technological solution — an interactive Tableau-based data visualization platform.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The architecture ensures efficient data processing, structured visualization, and scalable deployment.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Goals of the Solution Architecture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● Identify and implement the most suitable technological solution (Tableau dashboards + web deployment) to solve heritage data analysis challenges.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● Clearly define the structure and working of the system for stakeholders including faculty, evaluators, and end users.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● Establish features such as interactive maps, filters, comparison charts, and trend visualizations.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● Define development stages, system requirements, and deployment flow to ensure structured implementation.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● Provide clear specifications for managing, maintaining, and scaling the solution in future phases.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Solution Architecture Diagram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8601075"/>
            <wp:docPr id="0" name="Drawing 0" descr="91e9f8372d87d444660b62220af23b9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1e9f8372d87d444660b62220af23b9a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  <w:font w:name="Arial Bold">
    <w:panose1 w:val="020B0704020202020204"/>
    <w:charset w:characterSet="1"/>
  </w:font>
  <w:font w:name="Arial">
    <w:panose1 w:val="020B06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2026-02-24T14:35:18Z</dcterms:created>
  <dc:creator>Apache POI</dc:creator>
  <dc:title>SolutionArchitecture.docx</dc:title>
</cp:coreProperties>
</file>